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2E0290">
      <w:pPr>
        <w:spacing w:line="580" w:lineRule="exact"/>
        <w:rPr>
          <w:rFonts w:hint="eastAsia" w:ascii="方正黑体_GBK" w:hAnsi="方正黑体_GBK" w:eastAsia="方正黑体_GBK" w:cs="方正黑体_GBK"/>
          <w:szCs w:val="32"/>
        </w:rPr>
      </w:pPr>
      <w:r>
        <w:rPr>
          <w:rFonts w:hint="eastAsia" w:ascii="方正黑体_GBK" w:hAnsi="方正黑体_GBK" w:eastAsia="方正黑体_GBK" w:cs="方正黑体_GBK"/>
          <w:szCs w:val="32"/>
        </w:rPr>
        <w:t>附件2</w:t>
      </w:r>
    </w:p>
    <w:p w14:paraId="0B24FFEB">
      <w:pPr>
        <w:spacing w:line="700" w:lineRule="exact"/>
        <w:jc w:val="center"/>
        <w:rPr>
          <w:rFonts w:hint="eastAsia" w:ascii="方正小标宋_GBK" w:hAnsi="方正小标宋简体" w:eastAsia="方正小标宋_GBK" w:cs="方正小标宋简体"/>
          <w:sz w:val="44"/>
          <w:szCs w:val="44"/>
        </w:rPr>
      </w:pPr>
    </w:p>
    <w:p w14:paraId="13B4C2B8">
      <w:pPr>
        <w:spacing w:line="700" w:lineRule="exact"/>
        <w:jc w:val="center"/>
        <w:rPr>
          <w:rFonts w:hint="eastAsia" w:ascii="方正小标宋_GBK" w:hAnsi="方正小标宋简体" w:eastAsia="方正小标宋_GBK" w:cs="方正小标宋简体"/>
          <w:sz w:val="44"/>
          <w:szCs w:val="44"/>
        </w:rPr>
      </w:pPr>
      <w:r>
        <w:rPr>
          <w:rFonts w:ascii="方正小标宋_GBK" w:hAnsi="方正小标宋简体" w:eastAsia="方正小标宋_GBK" w:cs="方正小标宋简体"/>
          <w:sz w:val="44"/>
          <w:szCs w:val="44"/>
        </w:rPr>
        <w:t>2026年关于进一步促进文体旅联动</w:t>
      </w:r>
    </w:p>
    <w:p w14:paraId="189ED2AE">
      <w:pPr>
        <w:spacing w:line="700" w:lineRule="exact"/>
        <w:jc w:val="center"/>
        <w:rPr>
          <w:rFonts w:hint="eastAsia" w:ascii="方正小标宋_GBK" w:hAnsi="方正小标宋简体" w:eastAsia="方正小标宋_GBK" w:cs="方正小标宋简体"/>
          <w:sz w:val="44"/>
          <w:szCs w:val="44"/>
        </w:rPr>
      </w:pPr>
      <w:r>
        <w:rPr>
          <w:rFonts w:ascii="方正小标宋_GBK" w:hAnsi="方正小标宋简体" w:eastAsia="方正小标宋_GBK" w:cs="方正小标宋简体"/>
          <w:sz w:val="44"/>
          <w:szCs w:val="44"/>
        </w:rPr>
        <w:t>提振消费的若干政策措施实施方案</w:t>
      </w:r>
    </w:p>
    <w:p w14:paraId="6B0ABF35">
      <w:pPr>
        <w:spacing w:line="700" w:lineRule="exact"/>
        <w:jc w:val="center"/>
        <w:rPr>
          <w:rFonts w:hint="eastAsia" w:ascii="方正小标宋_GBK" w:hAnsi="方正小标宋简体" w:eastAsia="方正小标宋_GBK" w:cs="方正小标宋简体"/>
          <w:sz w:val="44"/>
          <w:szCs w:val="44"/>
        </w:rPr>
      </w:pPr>
    </w:p>
    <w:p w14:paraId="642B8AD8">
      <w:pPr>
        <w:spacing w:line="580" w:lineRule="exact"/>
        <w:ind w:firstLine="640" w:firstLineChars="200"/>
        <w:rPr>
          <w:rFonts w:ascii="方正黑体_GBK" w:eastAsia="方正黑体_GBK"/>
          <w:szCs w:val="32"/>
        </w:rPr>
      </w:pPr>
      <w:r>
        <w:rPr>
          <w:rFonts w:hint="eastAsia" w:ascii="方正黑体_GBK" w:eastAsia="方正黑体_GBK"/>
          <w:szCs w:val="32"/>
        </w:rPr>
        <w:t>一、总体原则</w:t>
      </w:r>
    </w:p>
    <w:p w14:paraId="757A5AC1">
      <w:pPr>
        <w:spacing w:line="580" w:lineRule="exact"/>
        <w:ind w:firstLine="640" w:firstLineChars="200"/>
        <w:rPr>
          <w:rFonts w:ascii="方正仿宋_GBK" w:eastAsia="方正仿宋_GBK"/>
          <w:szCs w:val="32"/>
        </w:rPr>
      </w:pPr>
      <w:r>
        <w:rPr>
          <w:rFonts w:hint="eastAsia" w:ascii="方正仿宋_GBK" w:eastAsia="方正仿宋_GBK"/>
          <w:szCs w:val="32"/>
        </w:rPr>
        <w:t>贯彻落实省财政厅、省委宣传部、省公安厅、省文旅厅、省体育局等部门《关于进一步促进文体旅联动提振消费的若干政策措施》（以下简称《若干措施》），公平公正、高效有序推荐奖补一批高品质体育赛事，引导赛事单位提升运营质量，为广大人民群众提供更优质体育赛事服务、更多元赛事消费场景，促进赛事经济更好发展。</w:t>
      </w:r>
    </w:p>
    <w:p w14:paraId="71F89998">
      <w:pPr>
        <w:spacing w:line="580" w:lineRule="exact"/>
        <w:ind w:firstLine="640" w:firstLineChars="200"/>
        <w:rPr>
          <w:rFonts w:ascii="方正黑体_GBK" w:eastAsia="方正黑体_GBK"/>
          <w:szCs w:val="32"/>
        </w:rPr>
      </w:pPr>
      <w:r>
        <w:rPr>
          <w:rFonts w:hint="eastAsia" w:ascii="方正黑体_GBK" w:eastAsia="方正黑体_GBK"/>
          <w:szCs w:val="32"/>
        </w:rPr>
        <w:t>二、奖补赛事要求</w:t>
      </w:r>
    </w:p>
    <w:p w14:paraId="6929433E">
      <w:pPr>
        <w:spacing w:line="580" w:lineRule="exact"/>
        <w:ind w:firstLine="640" w:firstLineChars="200"/>
        <w:rPr>
          <w:rFonts w:ascii="方正仿宋_GBK" w:eastAsia="方正仿宋_GBK"/>
          <w:szCs w:val="32"/>
        </w:rPr>
      </w:pPr>
      <w:r>
        <w:rPr>
          <w:rFonts w:hint="eastAsia" w:ascii="方正仿宋_GBK" w:eastAsia="方正仿宋_GBK"/>
          <w:szCs w:val="32"/>
        </w:rPr>
        <w:t>申请奖补的赛事须为满足以下条件并纳入“跟着赛事去旅行”清单的线下赛事。</w:t>
      </w:r>
    </w:p>
    <w:p w14:paraId="6F05986F">
      <w:pPr>
        <w:spacing w:line="580" w:lineRule="exact"/>
        <w:ind w:firstLine="640" w:firstLineChars="200"/>
        <w:rPr>
          <w:rFonts w:ascii="方正仿宋_GBK" w:eastAsia="方正仿宋_GBK"/>
          <w:szCs w:val="32"/>
        </w:rPr>
      </w:pPr>
      <w:r>
        <w:rPr>
          <w:rFonts w:hint="eastAsia" w:ascii="方正仿宋_GBK" w:eastAsia="方正仿宋_GBK"/>
          <w:szCs w:val="32"/>
        </w:rPr>
        <w:t>（一）基本条件</w:t>
      </w:r>
    </w:p>
    <w:p w14:paraId="44B5BE47">
      <w:pPr>
        <w:spacing w:line="580" w:lineRule="exact"/>
        <w:ind w:firstLine="640" w:firstLineChars="200"/>
        <w:rPr>
          <w:rFonts w:ascii="方正仿宋_GBK" w:eastAsia="方正仿宋_GBK"/>
          <w:szCs w:val="32"/>
        </w:rPr>
      </w:pPr>
      <w:r>
        <w:rPr>
          <w:rFonts w:hint="eastAsia" w:ascii="方正仿宋_GBK" w:eastAsia="方正仿宋_GBK"/>
          <w:szCs w:val="32"/>
        </w:rPr>
        <w:t>1</w:t>
      </w:r>
      <w:r>
        <w:rPr>
          <w:rFonts w:hint="eastAsia" w:ascii="方正仿宋_GBK" w:eastAsia="方正仿宋_GBK"/>
        </w:rPr>
        <w:t>．</w:t>
      </w:r>
      <w:r>
        <w:rPr>
          <w:rFonts w:hint="eastAsia" w:ascii="方正仿宋_GBK" w:eastAsia="方正仿宋_GBK"/>
          <w:szCs w:val="32"/>
        </w:rPr>
        <w:t>赛事须符合《江苏省贯彻&lt;体育赛事活动管理办法&gt;实施细则》的要求。</w:t>
      </w:r>
    </w:p>
    <w:p w14:paraId="0B518FA0">
      <w:pPr>
        <w:spacing w:line="580" w:lineRule="exact"/>
        <w:ind w:firstLine="640" w:firstLineChars="200"/>
        <w:rPr>
          <w:rFonts w:ascii="方正仿宋_GBK" w:eastAsia="方正仿宋_GBK"/>
          <w:szCs w:val="32"/>
        </w:rPr>
      </w:pPr>
      <w:r>
        <w:rPr>
          <w:rFonts w:hint="eastAsia" w:ascii="方正仿宋_GBK" w:eastAsia="方正仿宋_GBK"/>
          <w:szCs w:val="32"/>
        </w:rPr>
        <w:t>2</w:t>
      </w:r>
      <w:r>
        <w:rPr>
          <w:rFonts w:hint="eastAsia" w:ascii="方正仿宋_GBK" w:eastAsia="方正仿宋_GBK"/>
        </w:rPr>
        <w:t>．</w:t>
      </w:r>
      <w:r>
        <w:rPr>
          <w:rFonts w:hint="eastAsia" w:ascii="方正仿宋_GBK" w:eastAsia="方正仿宋_GBK"/>
          <w:szCs w:val="32"/>
        </w:rPr>
        <w:t>赛事主办、承办、协办任一项须有体育部门或体育行业协会参与。</w:t>
      </w:r>
    </w:p>
    <w:p w14:paraId="52FF9AD5">
      <w:pPr>
        <w:spacing w:line="580" w:lineRule="exact"/>
        <w:ind w:firstLine="640" w:firstLineChars="200"/>
        <w:rPr>
          <w:rFonts w:ascii="方正仿宋_GBK" w:eastAsia="方正仿宋_GBK"/>
          <w:szCs w:val="32"/>
        </w:rPr>
      </w:pPr>
      <w:r>
        <w:rPr>
          <w:rFonts w:hint="eastAsia" w:ascii="方正仿宋_GBK" w:eastAsia="方正仿宋_GBK"/>
          <w:szCs w:val="32"/>
        </w:rPr>
        <w:t>3</w:t>
      </w:r>
      <w:r>
        <w:rPr>
          <w:rFonts w:hint="eastAsia" w:ascii="方正仿宋_GBK" w:eastAsia="方正仿宋_GBK"/>
        </w:rPr>
        <w:t>．</w:t>
      </w:r>
      <w:r>
        <w:rPr>
          <w:rFonts w:hint="eastAsia" w:ascii="方正仿宋_GBK" w:eastAsia="方正仿宋_GBK"/>
          <w:szCs w:val="32"/>
        </w:rPr>
        <w:t>在体育赛事开赛60日前，赛事申请单位通过“江苏省体育赛事活动信息管理系统”（https://ids.sportsjs.cn/cas/login，以下简称“信息管理系统”）备案登记，纳入“江苏省体育赛事名录”。</w:t>
      </w:r>
    </w:p>
    <w:p w14:paraId="32E3AF94">
      <w:pPr>
        <w:spacing w:line="580" w:lineRule="exact"/>
        <w:ind w:firstLine="640" w:firstLineChars="200"/>
        <w:rPr>
          <w:rFonts w:ascii="方正仿宋_GBK" w:eastAsia="方正仿宋_GBK"/>
          <w:szCs w:val="32"/>
        </w:rPr>
      </w:pPr>
      <w:r>
        <w:rPr>
          <w:rFonts w:hint="eastAsia" w:ascii="方正仿宋_GBK" w:eastAsia="方正仿宋_GBK"/>
          <w:szCs w:val="32"/>
        </w:rPr>
        <w:t>4</w:t>
      </w:r>
      <w:r>
        <w:rPr>
          <w:rFonts w:hint="eastAsia" w:ascii="方正仿宋_GBK" w:eastAsia="方正仿宋_GBK"/>
        </w:rPr>
        <w:t>．</w:t>
      </w:r>
      <w:r>
        <w:rPr>
          <w:rFonts w:hint="eastAsia" w:ascii="方正仿宋_GBK" w:eastAsia="方正仿宋_GBK"/>
          <w:szCs w:val="32"/>
        </w:rPr>
        <w:t>赛事举办月的前一个月25日前，各级体育行政部门分级分类完成赛事审核。</w:t>
      </w:r>
    </w:p>
    <w:p w14:paraId="63D37E34">
      <w:pPr>
        <w:spacing w:line="580" w:lineRule="exact"/>
        <w:ind w:firstLine="640" w:firstLineChars="200"/>
        <w:rPr>
          <w:rFonts w:ascii="方正仿宋_GBK" w:eastAsia="方正仿宋_GBK"/>
          <w:szCs w:val="32"/>
        </w:rPr>
      </w:pPr>
      <w:r>
        <w:rPr>
          <w:rFonts w:hint="eastAsia" w:ascii="方正仿宋_GBK" w:eastAsia="方正仿宋_GBK"/>
          <w:szCs w:val="32"/>
        </w:rPr>
        <w:t>（二）赛事类型和要求</w:t>
      </w:r>
    </w:p>
    <w:p w14:paraId="439D8EFF">
      <w:pPr>
        <w:spacing w:line="580" w:lineRule="exact"/>
        <w:ind w:firstLine="640" w:firstLineChars="200"/>
        <w:rPr>
          <w:rFonts w:ascii="方正仿宋_GBK" w:eastAsia="方正仿宋_GBK"/>
          <w:szCs w:val="32"/>
        </w:rPr>
      </w:pPr>
      <w:r>
        <w:rPr>
          <w:rFonts w:hint="eastAsia" w:ascii="方正仿宋_GBK" w:eastAsia="方正仿宋_GBK"/>
          <w:szCs w:val="32"/>
        </w:rPr>
        <w:t>1</w:t>
      </w:r>
      <w:r>
        <w:rPr>
          <w:rFonts w:hint="eastAsia" w:ascii="方正仿宋_GBK" w:eastAsia="方正仿宋_GBK"/>
        </w:rPr>
        <w:t>．</w:t>
      </w:r>
      <w:r>
        <w:rPr>
          <w:rFonts w:hint="eastAsia" w:ascii="方正仿宋_GBK" w:eastAsia="方正仿宋_GBK"/>
          <w:szCs w:val="32"/>
        </w:rPr>
        <w:t>国际重大比赛。是指具有较强国际影响力的奥运会项目（项目参考2028年洛杉矶奥运会项目设置）和武术项目的国际赛事。必须是由国家体育总局或国家体育总局相关单位或全国性单项体育协会主办（承办）或参与主办（承办）的赛事。包括世界或洲际最高级别赛事、具有较高影响力的世界性或洲际性系列赛、连续多年举办的形成传统的区域性国际邀请赛事等。</w:t>
      </w:r>
    </w:p>
    <w:p w14:paraId="0E839B04">
      <w:pPr>
        <w:spacing w:line="580" w:lineRule="exact"/>
        <w:ind w:firstLine="640" w:firstLineChars="200"/>
        <w:rPr>
          <w:rFonts w:ascii="方正仿宋_GBK" w:eastAsia="方正仿宋_GBK"/>
          <w:szCs w:val="32"/>
        </w:rPr>
      </w:pPr>
      <w:r>
        <w:rPr>
          <w:rFonts w:hint="eastAsia" w:ascii="方正仿宋_GBK" w:eastAsia="方正仿宋_GBK"/>
          <w:szCs w:val="32"/>
        </w:rPr>
        <w:t>2</w:t>
      </w:r>
      <w:r>
        <w:rPr>
          <w:rFonts w:hint="eastAsia" w:ascii="方正仿宋_GBK" w:eastAsia="方正仿宋_GBK"/>
        </w:rPr>
        <w:t>．</w:t>
      </w:r>
      <w:r>
        <w:rPr>
          <w:rFonts w:hint="eastAsia" w:ascii="方正仿宋_GBK" w:eastAsia="方正仿宋_GBK"/>
          <w:szCs w:val="32"/>
        </w:rPr>
        <w:t>商业性赛事。公开出售观赛门票，能提供第三方票务平台数据的赛事。</w:t>
      </w:r>
    </w:p>
    <w:p w14:paraId="69DE9BC7">
      <w:pPr>
        <w:spacing w:line="580" w:lineRule="exact"/>
        <w:ind w:firstLine="640" w:firstLineChars="200"/>
        <w:rPr>
          <w:rFonts w:ascii="方正仿宋_GBK" w:eastAsia="方正仿宋_GBK"/>
          <w:szCs w:val="32"/>
        </w:rPr>
      </w:pPr>
      <w:r>
        <w:rPr>
          <w:rFonts w:hint="eastAsia" w:ascii="方正仿宋_GBK" w:eastAsia="方正仿宋_GBK"/>
          <w:szCs w:val="32"/>
        </w:rPr>
        <w:t>3</w:t>
      </w:r>
      <w:r>
        <w:rPr>
          <w:rFonts w:hint="eastAsia" w:ascii="方正仿宋_GBK" w:eastAsia="方正仿宋_GBK"/>
        </w:rPr>
        <w:t>．</w:t>
      </w:r>
      <w:r>
        <w:rPr>
          <w:rFonts w:hint="eastAsia" w:ascii="方正仿宋_GBK" w:eastAsia="方正仿宋_GBK"/>
          <w:szCs w:val="32"/>
        </w:rPr>
        <w:t>路跑赛事。仅指中国田径协会公布的马拉松赛事。</w:t>
      </w:r>
    </w:p>
    <w:p w14:paraId="1C0B0B65">
      <w:pPr>
        <w:spacing w:line="580" w:lineRule="exact"/>
        <w:ind w:firstLine="640" w:firstLineChars="200"/>
        <w:rPr>
          <w:rFonts w:ascii="方正仿宋_GBK" w:eastAsia="方正仿宋_GBK"/>
          <w:szCs w:val="32"/>
        </w:rPr>
      </w:pPr>
      <w:r>
        <w:rPr>
          <w:rFonts w:hint="eastAsia" w:ascii="方正仿宋_GBK" w:eastAsia="方正仿宋_GBK"/>
          <w:szCs w:val="32"/>
        </w:rPr>
        <w:t>4</w:t>
      </w:r>
      <w:r>
        <w:rPr>
          <w:rFonts w:hint="eastAsia" w:ascii="方正仿宋_GBK" w:eastAsia="方正仿宋_GBK"/>
        </w:rPr>
        <w:t>．</w:t>
      </w:r>
      <w:r>
        <w:rPr>
          <w:rFonts w:hint="eastAsia" w:ascii="方正仿宋_GBK" w:eastAsia="方正仿宋_GBK"/>
          <w:szCs w:val="32"/>
        </w:rPr>
        <w:t>群众赛事（含青少年赛事）。</w:t>
      </w:r>
    </w:p>
    <w:p w14:paraId="6EC0DCF5">
      <w:pPr>
        <w:spacing w:line="580" w:lineRule="exact"/>
        <w:ind w:firstLine="640" w:firstLineChars="200"/>
        <w:rPr>
          <w:rFonts w:ascii="方正仿宋_GBK" w:eastAsia="方正仿宋_GBK"/>
          <w:szCs w:val="32"/>
        </w:rPr>
      </w:pPr>
      <w:r>
        <w:rPr>
          <w:rFonts w:hint="eastAsia" w:ascii="方正仿宋_GBK" w:eastAsia="方正仿宋_GBK"/>
          <w:szCs w:val="32"/>
        </w:rPr>
        <w:t>（1）群众赛事分为群体赛事和青少年赛事。</w:t>
      </w:r>
    </w:p>
    <w:p w14:paraId="77E996D7">
      <w:pPr>
        <w:spacing w:line="580" w:lineRule="exact"/>
        <w:ind w:firstLine="640" w:firstLineChars="200"/>
        <w:rPr>
          <w:rFonts w:ascii="方正仿宋_GBK" w:eastAsia="方正仿宋_GBK"/>
          <w:szCs w:val="32"/>
        </w:rPr>
      </w:pPr>
      <w:r>
        <w:rPr>
          <w:rFonts w:hint="eastAsia" w:ascii="方正仿宋_GBK" w:hAnsi="Cambria Math" w:eastAsia="方正仿宋_GBK" w:cs="Cambria Math"/>
          <w:szCs w:val="32"/>
        </w:rPr>
        <w:t>①</w:t>
      </w:r>
      <w:r>
        <w:rPr>
          <w:rFonts w:hint="eastAsia" w:ascii="方正仿宋_GBK" w:eastAsia="方正仿宋_GBK"/>
          <w:szCs w:val="32"/>
        </w:rPr>
        <w:t>青少年赛事。奥运会项目（项目参考2028年洛杉矶奥运会项目设置）和武术项目青少年赛事。</w:t>
      </w:r>
    </w:p>
    <w:p w14:paraId="574CAF6A">
      <w:pPr>
        <w:spacing w:line="580" w:lineRule="exact"/>
        <w:ind w:firstLine="640" w:firstLineChars="200"/>
        <w:rPr>
          <w:rFonts w:ascii="方正仿宋_GBK" w:eastAsia="方正仿宋_GBK"/>
          <w:szCs w:val="32"/>
        </w:rPr>
      </w:pPr>
      <w:r>
        <w:rPr>
          <w:rFonts w:hint="eastAsia" w:ascii="方正仿宋_GBK" w:hAnsi="Cambria Math" w:eastAsia="方正仿宋_GBK" w:cs="Cambria Math"/>
          <w:szCs w:val="32"/>
        </w:rPr>
        <w:t>②</w:t>
      </w:r>
      <w:r>
        <w:rPr>
          <w:rFonts w:hint="eastAsia" w:ascii="方正仿宋_GBK" w:eastAsia="方正仿宋_GBK"/>
          <w:szCs w:val="32"/>
        </w:rPr>
        <w:t>群体赛事。除青少年赛事以外的群众赛事。</w:t>
      </w:r>
    </w:p>
    <w:p w14:paraId="33F25258">
      <w:pPr>
        <w:spacing w:line="580" w:lineRule="exact"/>
        <w:ind w:firstLine="640" w:firstLineChars="200"/>
        <w:rPr>
          <w:rFonts w:ascii="方正仿宋_GBK" w:eastAsia="方正仿宋_GBK"/>
          <w:szCs w:val="32"/>
        </w:rPr>
      </w:pPr>
      <w:r>
        <w:rPr>
          <w:rFonts w:hint="eastAsia" w:ascii="方正仿宋_GBK" w:eastAsia="方正仿宋_GBK"/>
          <w:szCs w:val="32"/>
        </w:rPr>
        <w:t>（2）群众赛事不包括青少年考/升各类项目段/级/证等比赛，以及群众性嘉年华活动等。</w:t>
      </w:r>
    </w:p>
    <w:p w14:paraId="724DD5D4">
      <w:pPr>
        <w:spacing w:line="580" w:lineRule="exact"/>
        <w:ind w:firstLine="640" w:firstLineChars="200"/>
        <w:rPr>
          <w:rFonts w:ascii="方正仿宋_GBK" w:eastAsia="方正仿宋_GBK"/>
          <w:szCs w:val="32"/>
        </w:rPr>
      </w:pPr>
      <w:r>
        <w:rPr>
          <w:rFonts w:hint="eastAsia" w:ascii="方正仿宋_GBK" w:eastAsia="方正仿宋_GBK"/>
          <w:szCs w:val="32"/>
        </w:rPr>
        <w:t>5</w:t>
      </w:r>
      <w:r>
        <w:rPr>
          <w:rFonts w:hint="eastAsia" w:ascii="方正仿宋_GBK" w:eastAsia="方正仿宋_GBK"/>
        </w:rPr>
        <w:t>．</w:t>
      </w:r>
      <w:r>
        <w:rPr>
          <w:rFonts w:hint="eastAsia" w:ascii="方正仿宋_GBK" w:eastAsia="方正仿宋_GBK"/>
          <w:szCs w:val="32"/>
        </w:rPr>
        <w:t>户外和潮流运动赛事。</w:t>
      </w:r>
    </w:p>
    <w:p w14:paraId="2F111A61">
      <w:pPr>
        <w:spacing w:line="580" w:lineRule="exact"/>
        <w:ind w:firstLine="640" w:firstLineChars="200"/>
        <w:rPr>
          <w:rFonts w:ascii="方正仿宋_GBK" w:eastAsia="方正仿宋_GBK"/>
          <w:szCs w:val="32"/>
        </w:rPr>
      </w:pPr>
      <w:r>
        <w:rPr>
          <w:rFonts w:hint="eastAsia" w:ascii="方正仿宋_GBK" w:eastAsia="方正仿宋_GBK"/>
          <w:szCs w:val="32"/>
        </w:rPr>
        <w:t>（1）仅指由国家体育总局或国家体育总局相关管理单位或全国性单项体育协会主办的全国性赛事。</w:t>
      </w:r>
    </w:p>
    <w:p w14:paraId="3E2DD886">
      <w:pPr>
        <w:spacing w:line="580" w:lineRule="exact"/>
        <w:ind w:firstLine="640" w:firstLineChars="200"/>
        <w:rPr>
          <w:rFonts w:ascii="方正仿宋_GBK" w:eastAsia="方正仿宋_GBK"/>
          <w:szCs w:val="32"/>
        </w:rPr>
      </w:pPr>
      <w:r>
        <w:rPr>
          <w:rFonts w:hint="eastAsia" w:ascii="方正仿宋_GBK" w:eastAsia="方正仿宋_GBK"/>
          <w:szCs w:val="32"/>
        </w:rPr>
        <w:t>（2）仅针对帆船、帆板、赛艇、皮划艇、动力冲浪板、桨板、冰雪、滑板、无人机（竞速）、匹克球、腰旗橄榄球、飞盘、汽摩十三类项目。其中，匹克球赛事指纳入中国匹克球巡回赛积分，且对应赛事级别为CPC-600、CPC-T600、CPC-J90及以上的赛事。</w:t>
      </w:r>
    </w:p>
    <w:p w14:paraId="7FD86BFC">
      <w:pPr>
        <w:spacing w:line="580" w:lineRule="exact"/>
        <w:ind w:firstLine="640" w:firstLineChars="200"/>
        <w:rPr>
          <w:rFonts w:ascii="方正仿宋_GBK" w:eastAsia="方正仿宋_GBK"/>
          <w:szCs w:val="32"/>
        </w:rPr>
      </w:pPr>
      <w:r>
        <w:rPr>
          <w:rFonts w:hint="eastAsia" w:ascii="方正仿宋_GBK" w:eastAsia="方正仿宋_GBK"/>
          <w:szCs w:val="32"/>
        </w:rPr>
        <w:t>（三）logo使用要求</w:t>
      </w:r>
    </w:p>
    <w:p w14:paraId="2CB3A48D">
      <w:pPr>
        <w:spacing w:line="580" w:lineRule="exact"/>
        <w:ind w:firstLine="640" w:firstLineChars="200"/>
        <w:rPr>
          <w:rFonts w:ascii="方正仿宋_GBK" w:eastAsia="方正仿宋_GBK"/>
          <w:szCs w:val="32"/>
        </w:rPr>
      </w:pPr>
      <w:r>
        <w:rPr>
          <w:rFonts w:hint="eastAsia" w:ascii="方正仿宋_GBK" w:eastAsia="方正仿宋_GBK"/>
          <w:szCs w:val="32"/>
        </w:rPr>
        <w:t>举办赛事须冠以“跟着赛事去旅行”名称，在主要区域位置使用省体育局设计的“跟着赛事去旅行”logo（logo原图可通过省体育局官网下载，使用时，可根据需要等比例放大或缩小，但不得变形、变色）。</w:t>
      </w:r>
    </w:p>
    <w:p w14:paraId="02BC6E66">
      <w:pPr>
        <w:spacing w:line="580" w:lineRule="exact"/>
        <w:ind w:firstLine="640" w:firstLineChars="200"/>
        <w:rPr>
          <w:rFonts w:ascii="方正仿宋_GBK" w:eastAsia="方正仿宋_GBK"/>
          <w:szCs w:val="32"/>
        </w:rPr>
      </w:pPr>
      <w:r>
        <w:rPr>
          <w:rFonts w:hint="eastAsia" w:ascii="方正仿宋_GBK" w:eastAsia="方正仿宋_GBK"/>
          <w:szCs w:val="32"/>
        </w:rPr>
        <w:t>（四）在赛事举办期间开展以下促消费系列活动（至少1项）：</w:t>
      </w:r>
    </w:p>
    <w:p w14:paraId="11E3E2E0">
      <w:pPr>
        <w:spacing w:line="580" w:lineRule="exact"/>
        <w:ind w:firstLine="640" w:firstLineChars="200"/>
        <w:rPr>
          <w:rFonts w:ascii="方正仿宋_GBK" w:eastAsia="方正仿宋_GBK"/>
          <w:szCs w:val="32"/>
        </w:rPr>
      </w:pPr>
      <w:r>
        <w:rPr>
          <w:rFonts w:hint="eastAsia" w:ascii="方正仿宋_GBK" w:eastAsia="方正仿宋_GBK"/>
          <w:szCs w:val="32"/>
        </w:rPr>
        <w:t>1．配套开展体育用品销售推广、非遗展演、老字号展销、文创市集、网红打卡、民俗小吃、特色农产品推介等促进消费活动；</w:t>
      </w:r>
    </w:p>
    <w:p w14:paraId="6E83581B">
      <w:pPr>
        <w:spacing w:line="580" w:lineRule="exact"/>
        <w:ind w:firstLine="640" w:firstLineChars="200"/>
        <w:rPr>
          <w:rFonts w:ascii="方正仿宋_GBK" w:eastAsia="方正仿宋_GBK"/>
          <w:szCs w:val="32"/>
        </w:rPr>
      </w:pPr>
      <w:r>
        <w:rPr>
          <w:rFonts w:hint="eastAsia" w:ascii="方正仿宋_GBK" w:eastAsia="方正仿宋_GBK"/>
          <w:szCs w:val="32"/>
        </w:rPr>
        <w:t>2．开展夜游、夜购、夜食、夜娱、夜秀等拉动夜经济活动；</w:t>
      </w:r>
    </w:p>
    <w:p w14:paraId="3FD80583">
      <w:pPr>
        <w:spacing w:line="580" w:lineRule="exact"/>
        <w:ind w:firstLine="640" w:firstLineChars="200"/>
        <w:rPr>
          <w:rFonts w:ascii="方正仿宋_GBK" w:eastAsia="方正仿宋_GBK"/>
          <w:szCs w:val="32"/>
        </w:rPr>
      </w:pPr>
      <w:r>
        <w:rPr>
          <w:rFonts w:hint="eastAsia" w:ascii="方正仿宋_GBK" w:eastAsia="方正仿宋_GBK"/>
          <w:szCs w:val="32"/>
        </w:rPr>
        <w:t>3．开展体文旅商联动，或票根经济促销活动，活动期间给予参赛人员交通、住宿、旅游、购物等消费优惠。</w:t>
      </w:r>
    </w:p>
    <w:p w14:paraId="5D583640">
      <w:pPr>
        <w:spacing w:line="580" w:lineRule="exact"/>
        <w:ind w:firstLine="640" w:firstLineChars="200"/>
        <w:rPr>
          <w:rFonts w:ascii="方正仿宋_GBK" w:eastAsia="方正仿宋_GBK"/>
          <w:szCs w:val="32"/>
        </w:rPr>
      </w:pPr>
      <w:r>
        <w:rPr>
          <w:rFonts w:hint="eastAsia" w:ascii="方正仿宋_GBK" w:eastAsia="方正仿宋_GBK"/>
          <w:szCs w:val="32"/>
        </w:rPr>
        <w:t>（五）《若干措施》中的“首赛”指江苏首次举办的奥运会项目（项目参考2028年洛杉矶奥运会项目设置）及武术项目的世界锦标赛、世界杯赛（不包含分站赛）等国际重大比赛。</w:t>
      </w:r>
    </w:p>
    <w:p w14:paraId="1C260FEA">
      <w:pPr>
        <w:spacing w:line="580" w:lineRule="exact"/>
        <w:ind w:firstLine="640" w:firstLineChars="200"/>
        <w:rPr>
          <w:rFonts w:ascii="方正仿宋_GBK" w:eastAsia="方正仿宋_GBK"/>
          <w:szCs w:val="32"/>
        </w:rPr>
      </w:pPr>
      <w:r>
        <w:rPr>
          <w:rFonts w:hint="eastAsia" w:ascii="方正仿宋_GBK" w:eastAsia="方正仿宋_GBK"/>
          <w:szCs w:val="32"/>
        </w:rPr>
        <w:t>（六）除国际重大比赛外，已纳入省体育局其他专项资金支持范围的赛事，此次提振消费赛事奖补资金中不再安排，或纳入此次支持范围的赛事不得再申报省体育局其他专项资金支持。</w:t>
      </w:r>
    </w:p>
    <w:p w14:paraId="7B3D559A">
      <w:pPr>
        <w:spacing w:line="580" w:lineRule="exact"/>
        <w:ind w:firstLine="640" w:firstLineChars="200"/>
        <w:rPr>
          <w:rFonts w:ascii="方正黑体_GBK" w:eastAsia="方正黑体_GBK"/>
          <w:szCs w:val="32"/>
        </w:rPr>
      </w:pPr>
      <w:r>
        <w:rPr>
          <w:rFonts w:hint="eastAsia" w:ascii="方正黑体_GBK" w:eastAsia="方正黑体_GBK"/>
          <w:szCs w:val="32"/>
        </w:rPr>
        <w:t>三、奖补对象要求</w:t>
      </w:r>
    </w:p>
    <w:p w14:paraId="7B09EDBA">
      <w:pPr>
        <w:spacing w:line="580" w:lineRule="exact"/>
        <w:ind w:firstLine="640" w:firstLineChars="200"/>
        <w:rPr>
          <w:rFonts w:ascii="方正仿宋_GBK" w:eastAsia="方正仿宋_GBK"/>
          <w:szCs w:val="32"/>
        </w:rPr>
      </w:pPr>
      <w:r>
        <w:rPr>
          <w:rFonts w:hint="eastAsia" w:ascii="方正仿宋_GBK" w:eastAsia="方正仿宋_GBK"/>
          <w:szCs w:val="32"/>
        </w:rPr>
        <w:t>赛事奖补申请单位需满足以下条件：</w:t>
      </w:r>
    </w:p>
    <w:p w14:paraId="46F1F148">
      <w:pPr>
        <w:spacing w:line="580" w:lineRule="exact"/>
        <w:ind w:firstLine="640" w:firstLineChars="200"/>
        <w:rPr>
          <w:rFonts w:ascii="方正仿宋_GBK" w:eastAsia="方正仿宋_GBK"/>
          <w:szCs w:val="32"/>
        </w:rPr>
      </w:pPr>
      <w:r>
        <w:rPr>
          <w:rFonts w:hint="eastAsia" w:ascii="方正仿宋_GBK" w:eastAsia="方正仿宋_GBK"/>
          <w:szCs w:val="32"/>
        </w:rPr>
        <w:t>（一）为赛事主（承）办单位，或者已获得赛事运营权的赛事运营单位；</w:t>
      </w:r>
    </w:p>
    <w:p w14:paraId="4AC2229C">
      <w:pPr>
        <w:spacing w:line="580" w:lineRule="exact"/>
        <w:ind w:firstLine="640" w:firstLineChars="200"/>
        <w:rPr>
          <w:rFonts w:ascii="方正仿宋_GBK" w:eastAsia="方正仿宋_GBK"/>
          <w:szCs w:val="32"/>
        </w:rPr>
      </w:pPr>
      <w:r>
        <w:rPr>
          <w:rFonts w:hint="eastAsia" w:ascii="方正仿宋_GBK" w:eastAsia="方正仿宋_GBK"/>
          <w:szCs w:val="32"/>
        </w:rPr>
        <w:t>（二）如涉及多个主（承）办主体或运营主体的，只能奖补一个主要主（承）办主体或运营主体，并得到其他主体共同认可；</w:t>
      </w:r>
    </w:p>
    <w:p w14:paraId="14B69124">
      <w:pPr>
        <w:spacing w:line="580" w:lineRule="exact"/>
        <w:ind w:firstLine="640" w:firstLineChars="200"/>
        <w:rPr>
          <w:rFonts w:ascii="方正仿宋_GBK" w:eastAsia="方正仿宋_GBK"/>
          <w:szCs w:val="32"/>
        </w:rPr>
      </w:pPr>
      <w:r>
        <w:rPr>
          <w:rFonts w:hint="eastAsia" w:ascii="方正仿宋_GBK" w:eastAsia="方正仿宋_GBK"/>
          <w:szCs w:val="32"/>
        </w:rPr>
        <w:t>（三）奖补对象一经确定，不得进行更改。</w:t>
      </w:r>
    </w:p>
    <w:p w14:paraId="3AEADD15">
      <w:pPr>
        <w:spacing w:line="580" w:lineRule="exact"/>
        <w:ind w:firstLine="640" w:firstLineChars="200"/>
        <w:rPr>
          <w:rFonts w:ascii="方正黑体_GBK" w:eastAsia="方正黑体_GBK"/>
          <w:szCs w:val="32"/>
        </w:rPr>
      </w:pPr>
      <w:r>
        <w:rPr>
          <w:rFonts w:hint="eastAsia" w:ascii="方正黑体_GBK" w:eastAsia="方正黑体_GBK"/>
          <w:szCs w:val="32"/>
        </w:rPr>
        <w:t>四、提交材料</w:t>
      </w:r>
    </w:p>
    <w:p w14:paraId="5F3041A6">
      <w:pPr>
        <w:spacing w:line="580" w:lineRule="exact"/>
        <w:ind w:firstLine="640" w:firstLineChars="200"/>
        <w:rPr>
          <w:rFonts w:ascii="方正仿宋_GBK" w:eastAsia="方正仿宋_GBK"/>
          <w:szCs w:val="32"/>
        </w:rPr>
      </w:pPr>
      <w:r>
        <w:rPr>
          <w:rFonts w:hint="eastAsia" w:ascii="方正仿宋_GBK" w:eastAsia="方正仿宋_GBK"/>
          <w:szCs w:val="32"/>
        </w:rPr>
        <w:t>申请单位分阶段按要求提供相关材料。</w:t>
      </w:r>
    </w:p>
    <w:p w14:paraId="59536108">
      <w:pPr>
        <w:spacing w:line="580" w:lineRule="exact"/>
        <w:ind w:firstLine="640" w:firstLineChars="200"/>
        <w:rPr>
          <w:rFonts w:ascii="方正楷体_GBK" w:eastAsia="方正楷体_GBK"/>
          <w:szCs w:val="32"/>
        </w:rPr>
      </w:pPr>
      <w:r>
        <w:rPr>
          <w:rFonts w:hint="eastAsia" w:ascii="方正楷体_GBK" w:eastAsia="方正楷体_GBK"/>
          <w:szCs w:val="32"/>
        </w:rPr>
        <w:t>（一）赛事清单征集阶段，提交以下材料（一式两份）：</w:t>
      </w:r>
    </w:p>
    <w:p w14:paraId="6EBE670A">
      <w:pPr>
        <w:spacing w:line="580" w:lineRule="exact"/>
        <w:ind w:firstLine="640" w:firstLineChars="200"/>
        <w:rPr>
          <w:rFonts w:ascii="方正仿宋_GBK" w:eastAsia="方正仿宋_GBK"/>
          <w:szCs w:val="32"/>
        </w:rPr>
      </w:pPr>
      <w:r>
        <w:rPr>
          <w:rFonts w:hint="eastAsia" w:ascii="方正仿宋_GBK" w:eastAsia="方正仿宋_GBK"/>
          <w:szCs w:val="32"/>
        </w:rPr>
        <w:t>1．《2026年“跟着赛事去旅行”赛事征集登记表》；</w:t>
      </w:r>
    </w:p>
    <w:p w14:paraId="1983E37F">
      <w:pPr>
        <w:spacing w:line="580" w:lineRule="exact"/>
        <w:ind w:firstLine="640" w:firstLineChars="200"/>
        <w:rPr>
          <w:rFonts w:ascii="方正仿宋_GBK" w:eastAsia="方正仿宋_GBK"/>
          <w:szCs w:val="32"/>
        </w:rPr>
      </w:pPr>
      <w:r>
        <w:rPr>
          <w:rFonts w:hint="eastAsia" w:ascii="方正仿宋_GBK" w:eastAsia="方正仿宋_GBK"/>
          <w:szCs w:val="32"/>
        </w:rPr>
        <w:t>2．拟开展促消费活动方案，应包括活动时间、地点及主要内容等；</w:t>
      </w:r>
    </w:p>
    <w:p w14:paraId="73BB3229">
      <w:pPr>
        <w:spacing w:line="580" w:lineRule="exact"/>
        <w:ind w:firstLine="640" w:firstLineChars="200"/>
        <w:rPr>
          <w:rFonts w:ascii="方正仿宋_GBK" w:eastAsia="方正仿宋_GBK"/>
          <w:szCs w:val="32"/>
        </w:rPr>
      </w:pPr>
      <w:r>
        <w:rPr>
          <w:rFonts w:hint="eastAsia" w:ascii="方正仿宋_GBK" w:eastAsia="方正仿宋_GBK"/>
          <w:szCs w:val="32"/>
        </w:rPr>
        <w:t>3．赛事竞赛规程、相关工作方案及应急预案，其中路跑类赛事以提前上传至“信息管理系统”的赛事资料为准，不需要再次提交；</w:t>
      </w:r>
    </w:p>
    <w:p w14:paraId="6F80437B">
      <w:pPr>
        <w:spacing w:line="580" w:lineRule="exact"/>
        <w:ind w:firstLine="640" w:firstLineChars="200"/>
        <w:rPr>
          <w:rFonts w:ascii="方正仿宋_GBK" w:eastAsia="方正仿宋_GBK"/>
          <w:szCs w:val="32"/>
        </w:rPr>
      </w:pPr>
      <w:r>
        <w:rPr>
          <w:rFonts w:hint="eastAsia" w:ascii="方正仿宋_GBK" w:eastAsia="方正仿宋_GBK"/>
          <w:szCs w:val="32"/>
        </w:rPr>
        <w:t>4．拥有赛事承办权的相关证明材料，包括但不限于国家体育总局或国家体育总局相关管理单位或全国性单项体育协会出具的同意举办赛事的正式批复（函）；</w:t>
      </w:r>
    </w:p>
    <w:p w14:paraId="26A9B7CD">
      <w:pPr>
        <w:spacing w:line="580" w:lineRule="exact"/>
        <w:ind w:firstLine="640" w:firstLineChars="200"/>
        <w:rPr>
          <w:rFonts w:ascii="方正仿宋_GBK" w:eastAsia="方正仿宋_GBK"/>
          <w:szCs w:val="32"/>
        </w:rPr>
      </w:pPr>
      <w:r>
        <w:rPr>
          <w:rFonts w:hint="eastAsia" w:ascii="方正仿宋_GBK" w:eastAsia="方正仿宋_GBK"/>
          <w:szCs w:val="32"/>
        </w:rPr>
        <w:t>以上提交材料中，除第1项外，其他须同步在“信息管理系统”完成电子材料上传。</w:t>
      </w:r>
    </w:p>
    <w:p w14:paraId="57FCFF86">
      <w:pPr>
        <w:spacing w:line="580" w:lineRule="exact"/>
        <w:ind w:firstLine="640" w:firstLineChars="200"/>
        <w:rPr>
          <w:rFonts w:ascii="方正楷体_GBK" w:eastAsia="方正楷体_GBK"/>
          <w:szCs w:val="32"/>
        </w:rPr>
      </w:pPr>
      <w:r>
        <w:rPr>
          <w:rFonts w:hint="eastAsia" w:ascii="方正楷体_GBK" w:eastAsia="方正楷体_GBK"/>
          <w:szCs w:val="32"/>
        </w:rPr>
        <w:t>（二）奖补资金审核阶段，提交以下材料：</w:t>
      </w:r>
    </w:p>
    <w:p w14:paraId="1FE39F88">
      <w:pPr>
        <w:spacing w:line="580" w:lineRule="exact"/>
        <w:ind w:firstLine="640" w:firstLineChars="200"/>
        <w:rPr>
          <w:rFonts w:ascii="方正仿宋_GBK" w:eastAsia="方正仿宋_GBK"/>
          <w:szCs w:val="32"/>
        </w:rPr>
      </w:pPr>
      <w:r>
        <w:rPr>
          <w:rFonts w:hint="eastAsia" w:ascii="方正仿宋_GBK" w:eastAsia="方正仿宋_GBK"/>
          <w:szCs w:val="32"/>
        </w:rPr>
        <w:t>省体育局将在赛事举办期间指派体育赛事活动指导员。赛事结束后两周内，申请单位配合体育赛事活动指导员在“江苏省体育赛事活动指导员系统”（以下简称“指导员系统”）上传材料，并通过“信息管理系统”补充赛事入库信息及以下证明材料。</w:t>
      </w:r>
    </w:p>
    <w:p w14:paraId="7A6BF4CD">
      <w:pPr>
        <w:spacing w:line="580" w:lineRule="exact"/>
        <w:ind w:firstLine="640" w:firstLineChars="200"/>
        <w:rPr>
          <w:rFonts w:ascii="方正仿宋_GBK" w:eastAsia="方正仿宋_GBK"/>
          <w:szCs w:val="32"/>
        </w:rPr>
      </w:pPr>
      <w:r>
        <w:rPr>
          <w:rFonts w:hint="eastAsia" w:ascii="方正仿宋_GBK" w:eastAsia="方正仿宋_GBK"/>
          <w:szCs w:val="32"/>
        </w:rPr>
        <w:t>1．能有效反映参赛国家（地区）数、参赛人数及参赛人员属地的证明材料，包括但不限于赛事秩序册、成绩册、运动员保险名册、赛事报名系统下载信息、第三方平台售票信息等。</w:t>
      </w:r>
    </w:p>
    <w:p w14:paraId="1A9B58DB">
      <w:pPr>
        <w:spacing w:line="580" w:lineRule="exact"/>
        <w:ind w:firstLine="640" w:firstLineChars="200"/>
        <w:rPr>
          <w:rFonts w:ascii="方正仿宋_GBK" w:eastAsia="方正仿宋_GBK"/>
          <w:szCs w:val="32"/>
        </w:rPr>
      </w:pPr>
      <w:r>
        <w:rPr>
          <w:rFonts w:hint="eastAsia" w:ascii="方正仿宋_GBK" w:eastAsia="方正仿宋_GBK"/>
          <w:szCs w:val="32"/>
        </w:rPr>
        <w:t>为便于审核工作开展，请做好数据分类汇总工作，提供一份能有效反映参赛人员和属地信息的excel表格、人员信息汇总表。</w:t>
      </w:r>
    </w:p>
    <w:p w14:paraId="54AC911D">
      <w:pPr>
        <w:spacing w:line="580" w:lineRule="exact"/>
        <w:ind w:firstLine="640" w:firstLineChars="200"/>
        <w:rPr>
          <w:rFonts w:ascii="方正仿宋_GBK" w:eastAsia="方正仿宋_GBK"/>
          <w:szCs w:val="32"/>
        </w:rPr>
      </w:pPr>
      <w:r>
        <w:rPr>
          <w:rFonts w:hint="eastAsia" w:ascii="方正仿宋_GBK" w:eastAsia="方正仿宋_GBK"/>
          <w:szCs w:val="32"/>
        </w:rPr>
        <w:t>2．赛事举办期间促消费活动方案和促消费活动开展佐证材料，包括但不限于现场活动照片3-4张，以及赛事官方网站、社交媒体平台截屏等。</w:t>
      </w:r>
    </w:p>
    <w:p w14:paraId="7B47F147">
      <w:pPr>
        <w:spacing w:line="580" w:lineRule="exact"/>
        <w:ind w:firstLine="640" w:firstLineChars="200"/>
        <w:rPr>
          <w:rFonts w:ascii="方正仿宋_GBK" w:eastAsia="方正仿宋_GBK"/>
          <w:szCs w:val="32"/>
        </w:rPr>
      </w:pPr>
      <w:r>
        <w:rPr>
          <w:rFonts w:hint="eastAsia" w:ascii="方正仿宋_GBK" w:eastAsia="方正仿宋_GBK"/>
          <w:szCs w:val="32"/>
        </w:rPr>
        <w:t>3．“跟着赛事去旅行”logo使用情况，包括但不限于赛场主背景板、场馆指示牌和促消费活动现场等区域logo使用照片3-4张，以及赛事官方网站、社交媒体平台截屏等。</w:t>
      </w:r>
    </w:p>
    <w:p w14:paraId="120038A4">
      <w:pPr>
        <w:spacing w:line="580" w:lineRule="exact"/>
        <w:ind w:firstLine="640" w:firstLineChars="200"/>
        <w:rPr>
          <w:rFonts w:ascii="方正黑体_GBK" w:eastAsia="方正黑体_GBK"/>
          <w:szCs w:val="32"/>
        </w:rPr>
      </w:pPr>
      <w:r>
        <w:rPr>
          <w:rFonts w:hint="eastAsia" w:ascii="方正黑体_GBK" w:eastAsia="方正黑体_GBK"/>
          <w:szCs w:val="32"/>
        </w:rPr>
        <w:t>五、数据采集要求</w:t>
      </w:r>
    </w:p>
    <w:p w14:paraId="2D89AB32">
      <w:pPr>
        <w:spacing w:line="580" w:lineRule="exact"/>
        <w:ind w:firstLine="640" w:firstLineChars="200"/>
        <w:rPr>
          <w:rFonts w:ascii="方正仿宋_GBK" w:eastAsia="方正仿宋_GBK"/>
          <w:szCs w:val="32"/>
        </w:rPr>
      </w:pPr>
      <w:r>
        <w:rPr>
          <w:rFonts w:hint="eastAsia" w:ascii="方正仿宋_GBK" w:eastAsia="方正仿宋_GBK"/>
          <w:szCs w:val="32"/>
        </w:rPr>
        <w:t>《若干措施》要求提供的参赛国家（地区）数、参赛人数、观众人数等相关数据通过多种渠道采集，并通过两种方式对数据进行比验，以数据小的作为核算标准，具体包括：</w:t>
      </w:r>
    </w:p>
    <w:p w14:paraId="157958CF">
      <w:pPr>
        <w:spacing w:line="580" w:lineRule="exact"/>
        <w:ind w:firstLine="640" w:firstLineChars="200"/>
        <w:rPr>
          <w:rFonts w:ascii="方正仿宋_GBK" w:eastAsia="方正仿宋_GBK"/>
          <w:szCs w:val="32"/>
        </w:rPr>
      </w:pPr>
      <w:r>
        <w:rPr>
          <w:rFonts w:hint="eastAsia" w:ascii="方正楷体_GBK" w:eastAsia="方正楷体_GBK"/>
          <w:szCs w:val="32"/>
        </w:rPr>
        <w:t>（一）国际重大比赛。</w:t>
      </w:r>
      <w:r>
        <w:rPr>
          <w:rFonts w:hint="eastAsia" w:ascii="方正仿宋_GBK" w:eastAsia="方正仿宋_GBK"/>
          <w:szCs w:val="32"/>
        </w:rPr>
        <w:t>参赛人数和参赛国家（地区）数通过赛事报名系统、秩序册、成绩册、运动员保险名册等任意两种渠道采集，并对数据进行验证。</w:t>
      </w:r>
    </w:p>
    <w:p w14:paraId="6B50C727">
      <w:pPr>
        <w:spacing w:line="580" w:lineRule="exact"/>
        <w:ind w:firstLine="640" w:firstLineChars="200"/>
        <w:rPr>
          <w:rFonts w:ascii="方正仿宋_GBK" w:eastAsia="方正仿宋_GBK"/>
          <w:szCs w:val="32"/>
        </w:rPr>
      </w:pPr>
      <w:r>
        <w:rPr>
          <w:rFonts w:hint="eastAsia" w:ascii="方正楷体_GBK" w:eastAsia="方正楷体_GBK"/>
          <w:szCs w:val="32"/>
        </w:rPr>
        <w:t>（二）商业性赛事。</w:t>
      </w:r>
      <w:r>
        <w:rPr>
          <w:rFonts w:hint="eastAsia" w:ascii="方正仿宋_GBK" w:eastAsia="方正仿宋_GBK"/>
          <w:szCs w:val="32"/>
        </w:rPr>
        <w:t>通过第三方售票平台采集累计售票数，并通过赛事举办期间观众进场闸机或手持验票机验票数进行验证。</w:t>
      </w:r>
    </w:p>
    <w:p w14:paraId="14F507BA">
      <w:pPr>
        <w:spacing w:line="580" w:lineRule="exact"/>
        <w:ind w:firstLine="640" w:firstLineChars="200"/>
        <w:rPr>
          <w:rFonts w:ascii="方正仿宋_GBK" w:eastAsia="方正仿宋_GBK"/>
          <w:szCs w:val="32"/>
        </w:rPr>
      </w:pPr>
      <w:r>
        <w:rPr>
          <w:rFonts w:hint="eastAsia" w:ascii="方正楷体_GBK" w:eastAsia="方正楷体_GBK"/>
          <w:szCs w:val="32"/>
        </w:rPr>
        <w:t>（三）路跑赛事。</w:t>
      </w:r>
      <w:r>
        <w:rPr>
          <w:rFonts w:hint="eastAsia" w:ascii="方正仿宋_GBK" w:eastAsia="方正仿宋_GBK"/>
          <w:szCs w:val="32"/>
        </w:rPr>
        <w:t>参赛人数通过赛事官方报名系统、赛事现场运动员检录数或运动员缴纳保险名册等进行验证。</w:t>
      </w:r>
    </w:p>
    <w:p w14:paraId="1736150F">
      <w:pPr>
        <w:spacing w:line="580" w:lineRule="exact"/>
        <w:ind w:firstLine="640" w:firstLineChars="200"/>
        <w:rPr>
          <w:rFonts w:ascii="方正仿宋_GBK" w:eastAsia="方正仿宋_GBK"/>
          <w:szCs w:val="32"/>
        </w:rPr>
      </w:pPr>
      <w:r>
        <w:rPr>
          <w:rFonts w:hint="eastAsia" w:ascii="方正楷体_GBK" w:eastAsia="方正楷体_GBK"/>
          <w:szCs w:val="32"/>
        </w:rPr>
        <w:t>（四）群众赛事（含青少年赛事）及户外和潮流运动赛事。</w:t>
      </w:r>
      <w:r>
        <w:rPr>
          <w:rFonts w:hint="eastAsia" w:ascii="方正仿宋_GBK" w:eastAsia="方正仿宋_GBK"/>
          <w:szCs w:val="32"/>
        </w:rPr>
        <w:t>参赛人数、办赛天数和域外（设区市外）参赛人数通过赛事报名系统、秩序册、成绩册、运动员保险名册等任意两种渠道采集，并对数据进行验证。</w:t>
      </w:r>
    </w:p>
    <w:p w14:paraId="10D2938E">
      <w:pPr>
        <w:spacing w:line="580" w:lineRule="exact"/>
        <w:ind w:firstLine="640" w:firstLineChars="200"/>
        <w:rPr>
          <w:rFonts w:ascii="方正黑体_GBK" w:eastAsia="方正黑体_GBK"/>
          <w:szCs w:val="32"/>
        </w:rPr>
      </w:pPr>
      <w:r>
        <w:rPr>
          <w:rFonts w:hint="eastAsia" w:ascii="方正黑体_GBK" w:eastAsia="方正黑体_GBK"/>
          <w:szCs w:val="32"/>
        </w:rPr>
        <w:t>六、主要工作流程</w:t>
      </w:r>
    </w:p>
    <w:p w14:paraId="79735D6A">
      <w:pPr>
        <w:spacing w:line="580" w:lineRule="exact"/>
        <w:ind w:firstLine="640" w:firstLineChars="200"/>
        <w:rPr>
          <w:rFonts w:ascii="方正仿宋_GBK" w:eastAsia="方正仿宋_GBK"/>
          <w:szCs w:val="32"/>
        </w:rPr>
      </w:pPr>
      <w:r>
        <w:rPr>
          <w:rFonts w:hint="eastAsia" w:ascii="方正楷体_GBK" w:eastAsia="方正楷体_GBK"/>
          <w:szCs w:val="32"/>
        </w:rPr>
        <w:t>（一）开展赛事征集和发布。</w:t>
      </w:r>
      <w:r>
        <w:rPr>
          <w:rFonts w:hint="eastAsia" w:ascii="方正仿宋_GBK" w:eastAsia="方正仿宋_GBK"/>
          <w:szCs w:val="32"/>
        </w:rPr>
        <w:t>省体育局开展“跟着赛事去旅行”赛事征集，经过单位登记、市级推荐、省级确认等程序后，确定“跟着赛事去旅行”赛事清单。</w:t>
      </w:r>
    </w:p>
    <w:p w14:paraId="59D39980">
      <w:pPr>
        <w:spacing w:line="580" w:lineRule="exact"/>
        <w:ind w:firstLine="640" w:firstLineChars="200"/>
        <w:rPr>
          <w:rFonts w:ascii="方正仿宋_GBK" w:eastAsia="方正仿宋_GBK"/>
          <w:szCs w:val="32"/>
        </w:rPr>
      </w:pPr>
      <w:r>
        <w:rPr>
          <w:rFonts w:hint="eastAsia" w:ascii="方正仿宋_GBK" w:eastAsia="方正仿宋_GBK"/>
          <w:szCs w:val="32"/>
        </w:rPr>
        <w:t>1．单位登记。申请单位填写《2026年“跟着赛事去旅行”赛事征集登记表》，对照提交材料要求，按照属地原则向设区市体育部门提交相关材料。</w:t>
      </w:r>
    </w:p>
    <w:p w14:paraId="25B4B638">
      <w:pPr>
        <w:spacing w:line="580" w:lineRule="exact"/>
        <w:ind w:firstLine="640" w:firstLineChars="200"/>
        <w:rPr>
          <w:rFonts w:ascii="方正仿宋_GBK" w:eastAsia="方正仿宋_GBK"/>
          <w:szCs w:val="32"/>
        </w:rPr>
      </w:pPr>
      <w:r>
        <w:rPr>
          <w:rFonts w:hint="eastAsia" w:ascii="方正仿宋_GBK" w:eastAsia="方正仿宋_GBK"/>
          <w:szCs w:val="32"/>
        </w:rPr>
        <w:t>2．市级推荐。各设区市体育部门按要求组织本辖区内的赛事登记工作，并对相关材料的真实性、完整性进行核实，将推荐单位的登记材料和《2026年“跟着赛事去旅行”赛事推荐清单》分类汇总报至省体育局。</w:t>
      </w:r>
    </w:p>
    <w:p w14:paraId="20BF3958">
      <w:pPr>
        <w:spacing w:line="580" w:lineRule="exact"/>
        <w:ind w:firstLine="640" w:firstLineChars="200"/>
        <w:rPr>
          <w:rFonts w:ascii="方正仿宋_GBK" w:eastAsia="方正仿宋_GBK"/>
          <w:szCs w:val="32"/>
        </w:rPr>
      </w:pPr>
      <w:r>
        <w:rPr>
          <w:rFonts w:hint="eastAsia" w:ascii="方正仿宋_GBK" w:eastAsia="方正仿宋_GBK"/>
          <w:szCs w:val="32"/>
        </w:rPr>
        <w:t>3．省级确认。省体育局对各设区市推荐的赛事进行审核，并在江苏省体育局网站对纳入“跟着赛事去旅行”清单赛事进行公告。</w:t>
      </w:r>
    </w:p>
    <w:p w14:paraId="6307A4E1">
      <w:pPr>
        <w:spacing w:line="580" w:lineRule="exact"/>
        <w:ind w:firstLine="640" w:firstLineChars="200"/>
        <w:rPr>
          <w:rFonts w:ascii="方正仿宋_GBK" w:eastAsia="方正仿宋_GBK"/>
          <w:szCs w:val="32"/>
        </w:rPr>
      </w:pPr>
      <w:r>
        <w:rPr>
          <w:rFonts w:hint="eastAsia" w:ascii="方正楷体_GBK" w:eastAsia="方正楷体_GBK"/>
          <w:szCs w:val="32"/>
        </w:rPr>
        <w:t>（二）跟踪赛事举办及数据采集。</w:t>
      </w:r>
      <w:r>
        <w:rPr>
          <w:rFonts w:hint="eastAsia" w:ascii="方正仿宋_GBK" w:eastAsia="方正仿宋_GBK"/>
          <w:szCs w:val="32"/>
        </w:rPr>
        <w:t>对纳入“跟着赛事去旅行”清单的赛事，体育赛事活动指导员采集本方案要求的赛事数据、“跟着赛事去旅行”logo使用、促消费活动开展等相关信息，并通过“指导员系统”完成《体育赛事活动信息采集和评估表》填写和证明材料附件上传。</w:t>
      </w:r>
    </w:p>
    <w:p w14:paraId="374D499E">
      <w:pPr>
        <w:spacing w:line="580" w:lineRule="exact"/>
        <w:ind w:firstLine="640" w:firstLineChars="200"/>
        <w:rPr>
          <w:rFonts w:ascii="方正仿宋_GBK" w:eastAsia="方正仿宋_GBK"/>
          <w:szCs w:val="32"/>
        </w:rPr>
      </w:pPr>
      <w:r>
        <w:rPr>
          <w:rFonts w:hint="eastAsia" w:ascii="方正楷体_GBK" w:eastAsia="方正楷体_GBK"/>
          <w:szCs w:val="32"/>
        </w:rPr>
        <w:t>（三）省体育局审核。</w:t>
      </w:r>
      <w:r>
        <w:rPr>
          <w:rFonts w:hint="eastAsia" w:ascii="方正仿宋_GBK" w:eastAsia="方正仿宋_GBK"/>
          <w:szCs w:val="32"/>
        </w:rPr>
        <w:t>省体育局对“指导员系统”及“信息管理系统”中的相关数据进行审核，确定符合《若干措施》要求的奖补赛事名单。</w:t>
      </w:r>
    </w:p>
    <w:p w14:paraId="2B0E123C">
      <w:pPr>
        <w:spacing w:line="580" w:lineRule="exact"/>
        <w:ind w:firstLine="640" w:firstLineChars="200"/>
        <w:rPr>
          <w:rFonts w:ascii="方正仿宋_GBK" w:eastAsia="方正仿宋_GBK"/>
          <w:szCs w:val="32"/>
        </w:rPr>
      </w:pPr>
      <w:r>
        <w:rPr>
          <w:rFonts w:hint="eastAsia" w:ascii="方正楷体_GBK" w:eastAsia="方正楷体_GBK"/>
          <w:szCs w:val="32"/>
        </w:rPr>
        <w:t>（四）公示及资金拨付。</w:t>
      </w:r>
      <w:r>
        <w:rPr>
          <w:rFonts w:hint="eastAsia" w:ascii="方正仿宋_GBK" w:eastAsia="方正仿宋_GBK"/>
          <w:szCs w:val="32"/>
        </w:rPr>
        <w:t>省体育局奖补方案在局网站进行公示，对无异议的赛事报省财政厅下达奖补资金。</w:t>
      </w:r>
    </w:p>
    <w:p w14:paraId="55DE477C">
      <w:pPr>
        <w:spacing w:line="580" w:lineRule="exact"/>
        <w:ind w:firstLine="640" w:firstLineChars="200"/>
        <w:rPr>
          <w:rFonts w:ascii="方正黑体_GBK" w:eastAsia="方正黑体_GBK"/>
          <w:szCs w:val="32"/>
        </w:rPr>
      </w:pPr>
      <w:r>
        <w:rPr>
          <w:rFonts w:hint="eastAsia" w:ascii="方正黑体_GBK" w:eastAsia="方正黑体_GBK"/>
          <w:szCs w:val="32"/>
        </w:rPr>
        <w:t>七、2026年1-7月举办赛事审核要求</w:t>
      </w:r>
    </w:p>
    <w:p w14:paraId="4B694905">
      <w:pPr>
        <w:spacing w:line="580" w:lineRule="exact"/>
        <w:ind w:firstLine="640" w:firstLineChars="200"/>
        <w:rPr>
          <w:rFonts w:ascii="方正仿宋_GBK" w:eastAsia="方正仿宋_GBK"/>
          <w:szCs w:val="32"/>
        </w:rPr>
      </w:pPr>
      <w:r>
        <w:rPr>
          <w:rFonts w:hint="eastAsia" w:ascii="方正仿宋_GBK" w:eastAsia="方正仿宋_GBK"/>
          <w:szCs w:val="32"/>
        </w:rPr>
        <w:t>各设区市体育局全面梳理本辖区内1-7月举办赛事情况，将符合《若干举措》和省体育局《实施方案》要求赛事的《2026年“跟着赛事去旅行”赛事征集登记表》和《2026年“跟着赛事去旅行”赛事推荐清单》审核确认后，于8月24日前报送至省体育局。</w:t>
      </w:r>
    </w:p>
    <w:p w14:paraId="21233104">
      <w:pPr>
        <w:spacing w:line="580" w:lineRule="exact"/>
        <w:ind w:firstLine="640" w:firstLineChars="200"/>
        <w:rPr>
          <w:rFonts w:ascii="方正仿宋_GBK" w:eastAsia="方正仿宋_GBK"/>
          <w:szCs w:val="32"/>
        </w:rPr>
      </w:pPr>
      <w:r>
        <w:rPr>
          <w:rFonts w:hint="eastAsia" w:ascii="方正仿宋_GBK" w:eastAsia="方正仿宋_GBK"/>
          <w:szCs w:val="32"/>
        </w:rPr>
        <w:t>1．赛事logo使用、体育赛事活动指导员到场可不做要求，赛事数据、促消费活动开展应符合省体育局《实施方案》要求；</w:t>
      </w:r>
    </w:p>
    <w:p w14:paraId="5E1C2504">
      <w:pPr>
        <w:spacing w:line="580" w:lineRule="exact"/>
        <w:ind w:firstLine="640" w:firstLineChars="200"/>
        <w:rPr>
          <w:rFonts w:ascii="方正仿宋_GBK" w:eastAsia="方正仿宋_GBK"/>
          <w:szCs w:val="32"/>
        </w:rPr>
      </w:pPr>
      <w:r>
        <w:rPr>
          <w:rFonts w:hint="eastAsia" w:ascii="方正仿宋_GBK" w:eastAsia="方正仿宋_GBK"/>
          <w:szCs w:val="32"/>
        </w:rPr>
        <w:t>2．所有赛事单位按照奖补资金审核阶段材料提交要求，在8月14日前完成相关材料上传（8月14日18:00系统将关闭材料上传备案功能）。</w:t>
      </w:r>
    </w:p>
    <w:p w14:paraId="78C4FDFD">
      <w:pPr>
        <w:spacing w:line="580" w:lineRule="exact"/>
        <w:ind w:firstLine="640" w:firstLineChars="200"/>
        <w:rPr>
          <w:rFonts w:ascii="方正黑体_GBK" w:eastAsia="方正黑体_GBK"/>
          <w:szCs w:val="32"/>
        </w:rPr>
      </w:pPr>
      <w:r>
        <w:rPr>
          <w:rFonts w:hint="eastAsia" w:ascii="方正黑体_GBK" w:eastAsia="方正黑体_GBK"/>
          <w:szCs w:val="32"/>
        </w:rPr>
        <w:t>八、保障措施</w:t>
      </w:r>
    </w:p>
    <w:p w14:paraId="3850D68F">
      <w:pPr>
        <w:spacing w:line="580" w:lineRule="exact"/>
        <w:ind w:firstLine="640" w:firstLineChars="200"/>
        <w:rPr>
          <w:rFonts w:ascii="方正仿宋_GBK" w:eastAsia="方正仿宋_GBK"/>
          <w:szCs w:val="32"/>
        </w:rPr>
      </w:pPr>
      <w:r>
        <w:rPr>
          <w:rFonts w:hint="eastAsia" w:ascii="方正楷体_GBK" w:eastAsia="方正楷体_GBK"/>
          <w:szCs w:val="32"/>
        </w:rPr>
        <w:t>（一）组织保障。</w:t>
      </w:r>
      <w:r>
        <w:rPr>
          <w:rFonts w:hint="eastAsia" w:ascii="方正仿宋_GBK" w:eastAsia="方正仿宋_GBK"/>
          <w:szCs w:val="32"/>
        </w:rPr>
        <w:t>省体育局将加强对《若干措施》落实工作统筹协调和政策指导，成立领导小组，分条线负责“跟着赛事去旅行”赛事征集和举办情况审核等工作。其中，综合业务处和相关单位负责国际重大比赛、路跑赛事及部分户外和潮流运动赛事（竞技体育类赛事），并做好首赛认定；群众体育处和相关单位负责群体赛事及部分户外和潮流运动赛事（除竞技体育类赛事）；青少年体育处和相关单位负责青少年赛事；体育经济处和相关单位负责商业性赛事审核。各设区市体育局要督促做好工作落实，加强组织领导和政策指导。</w:t>
      </w:r>
    </w:p>
    <w:p w14:paraId="10440B56">
      <w:pPr>
        <w:spacing w:line="580" w:lineRule="exact"/>
        <w:ind w:firstLine="640" w:firstLineChars="200"/>
        <w:rPr>
          <w:rFonts w:ascii="方正仿宋_GBK" w:eastAsia="方正仿宋_GBK"/>
          <w:szCs w:val="32"/>
        </w:rPr>
      </w:pPr>
      <w:r>
        <w:rPr>
          <w:rFonts w:hint="eastAsia" w:ascii="方正楷体_GBK" w:eastAsia="方正楷体_GBK"/>
          <w:szCs w:val="32"/>
        </w:rPr>
        <w:t>（二）资金支持。</w:t>
      </w:r>
      <w:r>
        <w:rPr>
          <w:rFonts w:hint="eastAsia" w:ascii="方正仿宋_GBK" w:eastAsia="方正仿宋_GBK"/>
          <w:szCs w:val="32"/>
        </w:rPr>
        <w:t>符合《若干措施》要求的赛事奖补资金由省财政统一安排。</w:t>
      </w:r>
    </w:p>
    <w:p w14:paraId="1D739E7D">
      <w:pPr>
        <w:spacing w:line="580" w:lineRule="exact"/>
        <w:ind w:firstLine="640" w:firstLineChars="200"/>
        <w:rPr>
          <w:rFonts w:ascii="方正仿宋_GBK" w:eastAsia="方正仿宋_GBK"/>
          <w:szCs w:val="32"/>
        </w:rPr>
      </w:pPr>
      <w:r>
        <w:rPr>
          <w:rFonts w:hint="eastAsia" w:ascii="方正楷体_GBK" w:eastAsia="方正楷体_GBK"/>
          <w:szCs w:val="32"/>
        </w:rPr>
        <w:t>（三）监督检查。</w:t>
      </w:r>
      <w:r>
        <w:rPr>
          <w:rFonts w:hint="eastAsia" w:ascii="方正仿宋_GBK" w:eastAsia="方正仿宋_GBK"/>
          <w:szCs w:val="32"/>
        </w:rPr>
        <w:t>省体育局不定期对奖补赛事的售票数、参赛人数等情况进行核查；与第三方机构加强合作，聚焦观赛票根使用、参赛人员延伸消费两大维度，开展文体旅联动促消费评估工作，涉及的相关单位应予以配合。各设区市体育局和体育赛事活动指导员要进一步强化责任担当，推动《若干措施》落实。</w:t>
      </w:r>
    </w:p>
    <w:p w14:paraId="7793D662">
      <w:pPr>
        <w:spacing w:line="580" w:lineRule="exact"/>
        <w:ind w:firstLine="640" w:firstLineChars="200"/>
        <w:rPr>
          <w:rFonts w:ascii="方正仿宋_GBK" w:eastAsia="方正仿宋_GBK"/>
          <w:szCs w:val="32"/>
        </w:rPr>
      </w:pPr>
      <w:r>
        <w:rPr>
          <w:rFonts w:hint="eastAsia" w:ascii="方正楷体_GBK" w:eastAsia="方正楷体_GBK"/>
          <w:szCs w:val="32"/>
        </w:rPr>
        <w:t>（四）其他事项。</w:t>
      </w:r>
      <w:r>
        <w:rPr>
          <w:rFonts w:hint="eastAsia" w:ascii="方正仿宋_GBK" w:eastAsia="方正仿宋_GBK"/>
          <w:szCs w:val="32"/>
        </w:rPr>
        <w:t>如遇重大政策调整，以最新通知或公告为准。</w:t>
      </w:r>
    </w:p>
    <w:p w14:paraId="3BC914B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小标宋简体">
    <w:altName w:val="微软雅黑"/>
    <w:panose1 w:val="00000000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7974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2026-07-15T06:43:55Z</dcterms:created>
  <dc:creator>Administrator</dc:creator>
  <cp:lastModifiedBy>王令尹</cp:lastModifiedBy>
  <dcterms:modified xsi:type="dcterms:W3CDTF">2026-07-15T06:44:05Z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eyJoZGlkIjoiOTNiZDdiNjc2N2QwNDkxZDU3YjYwZDdjYzE2NWI4MzQiLCJ1c2VySWQiOiIxNzk2NzMyMDAyIn0=</vt:lpwstr>
  </property>
  <property fmtid="{D5CDD505-2E9C-101B-9397-08002B2CF9AE}" pid="4" name="ICV">
    <vt:lpwstr>F6C5CDCEB6FD47F8950D08764D1CE5E8_12</vt:lpwstr>
  </property>
</Properties>
</file>