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63CAE">
      <w:pPr>
        <w:overflowPunct w:val="0"/>
        <w:snapToGrid w:val="0"/>
        <w:spacing w:line="500" w:lineRule="exact"/>
        <w:jc w:val="left"/>
        <w:rPr>
          <w:rFonts w:ascii="方正黑体_GBK" w:hAnsi="Times New Roman" w:eastAsia="方正黑体_GBK"/>
          <w:kern w:val="0"/>
          <w:szCs w:val="32"/>
        </w:rPr>
      </w:pPr>
      <w:r>
        <w:rPr>
          <w:rFonts w:hint="eastAsia" w:ascii="方正黑体_GBK" w:hAnsi="Times New Roman" w:eastAsia="方正黑体_GBK"/>
          <w:kern w:val="0"/>
          <w:szCs w:val="32"/>
        </w:rPr>
        <w:t>附件1</w:t>
      </w:r>
    </w:p>
    <w:p w14:paraId="69528718">
      <w:pPr>
        <w:tabs>
          <w:tab w:val="left" w:pos="5529"/>
        </w:tabs>
        <w:overflowPunct w:val="0"/>
        <w:spacing w:before="116" w:beforeLines="20" w:after="116" w:afterLines="20" w:line="600" w:lineRule="exact"/>
        <w:jc w:val="center"/>
        <w:rPr>
          <w:rFonts w:ascii="方正小标宋_GBK" w:hAnsi="Times New Roman" w:eastAsia="方正小标宋_GBK"/>
          <w:sz w:val="44"/>
          <w:szCs w:val="44"/>
        </w:rPr>
      </w:pPr>
      <w:r>
        <w:rPr>
          <w:rFonts w:hint="eastAsia" w:ascii="方正小标宋_GBK" w:hAnsi="Times New Roman" w:eastAsia="方正小标宋_GBK"/>
          <w:sz w:val="44"/>
          <w:szCs w:val="44"/>
        </w:rPr>
        <w:t>省体育局2022年作风建设考评细则</w:t>
      </w:r>
    </w:p>
    <w:tbl>
      <w:tblPr>
        <w:tblStyle w:val="4"/>
        <w:tblW w:w="14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843"/>
        <w:gridCol w:w="7009"/>
        <w:gridCol w:w="3402"/>
        <w:gridCol w:w="1701"/>
      </w:tblGrid>
      <w:tr w14:paraId="6010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861" w:type="dxa"/>
            <w:vAlign w:val="center"/>
          </w:tcPr>
          <w:p w14:paraId="5DA033BD">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项目</w:t>
            </w:r>
          </w:p>
        </w:tc>
        <w:tc>
          <w:tcPr>
            <w:tcW w:w="1843" w:type="dxa"/>
            <w:vAlign w:val="center"/>
          </w:tcPr>
          <w:p w14:paraId="5C4B5F12">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考评内容与</w:t>
            </w:r>
          </w:p>
          <w:p w14:paraId="2C0ECEA7">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评分处室</w:t>
            </w:r>
          </w:p>
        </w:tc>
        <w:tc>
          <w:tcPr>
            <w:tcW w:w="7009" w:type="dxa"/>
            <w:vAlign w:val="center"/>
          </w:tcPr>
          <w:p w14:paraId="1836E023">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评分细则</w:t>
            </w:r>
          </w:p>
        </w:tc>
        <w:tc>
          <w:tcPr>
            <w:tcW w:w="3402" w:type="dxa"/>
            <w:vAlign w:val="center"/>
          </w:tcPr>
          <w:p w14:paraId="4AD9002A">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备  注</w:t>
            </w:r>
          </w:p>
        </w:tc>
        <w:tc>
          <w:tcPr>
            <w:tcW w:w="1701" w:type="dxa"/>
            <w:vAlign w:val="center"/>
          </w:tcPr>
          <w:p w14:paraId="41ABCA63">
            <w:pPr>
              <w:spacing w:line="280" w:lineRule="exact"/>
              <w:jc w:val="center"/>
              <w:rPr>
                <w:rFonts w:ascii="方正黑体_GBK" w:hAnsi="Times New Roman" w:eastAsia="方正黑体_GBK"/>
                <w:sz w:val="21"/>
                <w:szCs w:val="21"/>
              </w:rPr>
            </w:pPr>
            <w:r>
              <w:rPr>
                <w:rFonts w:hint="eastAsia" w:ascii="方正黑体_GBK" w:hAnsi="Times New Roman" w:eastAsia="方正黑体_GBK"/>
                <w:sz w:val="21"/>
                <w:szCs w:val="21"/>
              </w:rPr>
              <w:t>适用处室及单位</w:t>
            </w:r>
          </w:p>
        </w:tc>
      </w:tr>
      <w:tr w14:paraId="168C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1" w:type="dxa"/>
            <w:vMerge w:val="restart"/>
            <w:vAlign w:val="center"/>
          </w:tcPr>
          <w:p w14:paraId="33C25F09">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廉洁</w:t>
            </w:r>
          </w:p>
          <w:p w14:paraId="5983807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从政</w:t>
            </w:r>
          </w:p>
          <w:p w14:paraId="4006EA6E">
            <w:pPr>
              <w:spacing w:line="280" w:lineRule="exact"/>
              <w:jc w:val="center"/>
              <w:rPr>
                <w:rFonts w:ascii="方正黑体_GBK" w:hAnsi="Times New Roman" w:eastAsia="方正黑体_GBK"/>
                <w:color w:val="000000" w:themeColor="text1"/>
                <w:spacing w:val="-16"/>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（22分）</w:t>
            </w:r>
          </w:p>
        </w:tc>
        <w:tc>
          <w:tcPr>
            <w:tcW w:w="1843" w:type="dxa"/>
            <w:vMerge w:val="restart"/>
            <w:vAlign w:val="center"/>
          </w:tcPr>
          <w:p w14:paraId="4B331EC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1.严格落实全面从严治党主体责任。（2分）（机关党委）</w:t>
            </w:r>
          </w:p>
        </w:tc>
        <w:tc>
          <w:tcPr>
            <w:tcW w:w="7009" w:type="dxa"/>
            <w:vAlign w:val="center"/>
          </w:tcPr>
          <w:p w14:paraId="5658010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（1）12月15日前上报2022年度落实全面从严治党主体责任述责报告，得1分。</w:t>
            </w:r>
          </w:p>
        </w:tc>
        <w:tc>
          <w:tcPr>
            <w:tcW w:w="3402" w:type="dxa"/>
            <w:vAlign w:val="center"/>
          </w:tcPr>
          <w:p w14:paraId="382391B3">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机关纪委统一给分，不需提供台账</w:t>
            </w:r>
          </w:p>
        </w:tc>
        <w:tc>
          <w:tcPr>
            <w:tcW w:w="1701" w:type="dxa"/>
            <w:vAlign w:val="center"/>
          </w:tcPr>
          <w:p w14:paraId="72C2667B">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6D06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61" w:type="dxa"/>
            <w:vMerge w:val="continue"/>
            <w:vAlign w:val="center"/>
          </w:tcPr>
          <w:p w14:paraId="20812D4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3D5C9CA0">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1DF35CC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（2）机关处室、直属单位按要求与局党组签订的《落实</w:t>
            </w:r>
            <w:r>
              <w:rPr>
                <w:rFonts w:hint="eastAsia" w:ascii="方正仿宋_GBK" w:hAnsi="Times New Roman" w:eastAsia="方正仿宋_GBK"/>
                <w:color w:val="000000" w:themeColor="text1"/>
                <w:sz w:val="21"/>
                <w:szCs w:val="21"/>
                <w:lang w:eastAsia="zh-CN"/>
                <w14:textFill>
                  <w14:solidFill>
                    <w14:schemeClr w14:val="tx1"/>
                  </w14:solidFill>
                </w14:textFill>
              </w:rPr>
              <w:t>全面从严治党主体责任</w:t>
            </w:r>
            <w:r>
              <w:rPr>
                <w:rFonts w:hint="eastAsia" w:ascii="方正仿宋_GBK" w:hAnsi="Times New Roman" w:eastAsia="方正仿宋_GBK"/>
                <w:color w:val="000000" w:themeColor="text1"/>
                <w:sz w:val="21"/>
                <w:szCs w:val="21"/>
                <w14:textFill>
                  <w14:solidFill>
                    <w14:schemeClr w14:val="tx1"/>
                  </w14:solidFill>
                </w14:textFill>
              </w:rPr>
              <w:t>书》，并与所属干部职工按照岗位职责签订个性化《落实</w:t>
            </w:r>
            <w:bookmarkStart w:id="0" w:name="_GoBack"/>
            <w:bookmarkEnd w:id="0"/>
            <w:r>
              <w:rPr>
                <w:rFonts w:hint="eastAsia" w:ascii="方正仿宋_GBK" w:hAnsi="Times New Roman" w:eastAsia="方正仿宋_GBK"/>
                <w:color w:val="000000" w:themeColor="text1"/>
                <w:sz w:val="21"/>
                <w:szCs w:val="21"/>
                <w:lang w:eastAsia="zh-CN"/>
                <w14:textFill>
                  <w14:solidFill>
                    <w14:schemeClr w14:val="tx1"/>
                  </w14:solidFill>
                </w14:textFill>
              </w:rPr>
              <w:t>全面从严治党主体责任</w:t>
            </w:r>
            <w:r>
              <w:rPr>
                <w:rFonts w:hint="eastAsia" w:ascii="方正仿宋_GBK" w:hAnsi="Times New Roman" w:eastAsia="方正仿宋_GBK"/>
                <w:color w:val="000000" w:themeColor="text1"/>
                <w:sz w:val="21"/>
                <w:szCs w:val="21"/>
                <w14:textFill>
                  <w14:solidFill>
                    <w14:schemeClr w14:val="tx1"/>
                  </w14:solidFill>
                </w14:textFill>
              </w:rPr>
              <w:t>承诺书》，得1分；少1份，扣0.1分，扣完为止。</w:t>
            </w:r>
          </w:p>
        </w:tc>
        <w:tc>
          <w:tcPr>
            <w:tcW w:w="3402" w:type="dxa"/>
            <w:vAlign w:val="center"/>
          </w:tcPr>
          <w:p w14:paraId="3390E736">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需与全体在职在编职工签订符合岗位职责的个性化承诺书</w:t>
            </w:r>
          </w:p>
        </w:tc>
        <w:tc>
          <w:tcPr>
            <w:tcW w:w="1701" w:type="dxa"/>
            <w:vAlign w:val="center"/>
          </w:tcPr>
          <w:p w14:paraId="0066A9C6">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C82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61" w:type="dxa"/>
            <w:vMerge w:val="continue"/>
            <w:vAlign w:val="center"/>
          </w:tcPr>
          <w:p w14:paraId="2E4DEC34">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restart"/>
            <w:vAlign w:val="center"/>
          </w:tcPr>
          <w:p w14:paraId="3DE9D40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2.认真履行党风廉政主体责任和全面监督责任，一体推进不敢腐不能腐不想腐。（4分）（机关党委）</w:t>
            </w:r>
          </w:p>
        </w:tc>
        <w:tc>
          <w:tcPr>
            <w:tcW w:w="7009" w:type="dxa"/>
            <w:vAlign w:val="center"/>
          </w:tcPr>
          <w:p w14:paraId="5CA101AD">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主要负责同志认真落实“四个亲自”要求，严格落实民主集中制，促进领导班子团结，得1分；修订完善本处室（单位）全面从严治党主体责任清单（党风廉政主体责任清单）并认真贯彻落实，得1分；总分2分。</w:t>
            </w:r>
          </w:p>
        </w:tc>
        <w:tc>
          <w:tcPr>
            <w:tcW w:w="3402" w:type="dxa"/>
            <w:vAlign w:val="center"/>
          </w:tcPr>
          <w:p w14:paraId="6BC35A42">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提供主任办公会、党委会（总支委员会、支委会）等重要会议记录，并通过谈话了解相关情况，提供本年度本单位党风廉政主体责任清单</w:t>
            </w:r>
          </w:p>
        </w:tc>
        <w:tc>
          <w:tcPr>
            <w:tcW w:w="1701" w:type="dxa"/>
            <w:vAlign w:val="center"/>
          </w:tcPr>
          <w:p w14:paraId="435C4257">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3652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jc w:val="center"/>
        </w:trPr>
        <w:tc>
          <w:tcPr>
            <w:tcW w:w="861" w:type="dxa"/>
            <w:vMerge w:val="continue"/>
            <w:vAlign w:val="center"/>
          </w:tcPr>
          <w:p w14:paraId="547EA7CF">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660A07D5">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35EAC1B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（2）机关处室主要负责同志与处室其他同志之间、直属单位领导班子成员之间、领导班子成员与所分管部门中层干部之间</w:t>
            </w:r>
            <w:r>
              <w:rPr>
                <w:rFonts w:hint="eastAsia" w:ascii="方正仿宋_GBK" w:hAnsi="Times New Roman" w:eastAsia="方正仿宋_GBK"/>
                <w:bCs/>
                <w:color w:val="000000" w:themeColor="text1"/>
                <w:sz w:val="21"/>
                <w:szCs w:val="21"/>
                <w14:textFill>
                  <w14:solidFill>
                    <w14:schemeClr w14:val="tx1"/>
                  </w14:solidFill>
                </w14:textFill>
              </w:rPr>
              <w:t>开展谈心谈话（可结合廉政谈话一并开展）每年不少于2次，</w:t>
            </w:r>
            <w:r>
              <w:rPr>
                <w:rFonts w:hint="eastAsia" w:ascii="方正仿宋_GBK" w:hAnsi="Times New Roman" w:eastAsia="方正仿宋_GBK"/>
                <w:color w:val="000000" w:themeColor="text1"/>
                <w:sz w:val="21"/>
                <w:szCs w:val="21"/>
                <w14:textFill>
                  <w14:solidFill>
                    <w14:schemeClr w14:val="tx1"/>
                  </w14:solidFill>
                </w14:textFill>
              </w:rPr>
              <w:t>完成得2分；少1人次扣0.5分，扣完为止。</w:t>
            </w:r>
          </w:p>
        </w:tc>
        <w:tc>
          <w:tcPr>
            <w:tcW w:w="3402" w:type="dxa"/>
            <w:vAlign w:val="center"/>
          </w:tcPr>
          <w:p w14:paraId="63DB2F73">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提供谈心谈话记录表（可结合廉政谈话一并开展）</w:t>
            </w:r>
          </w:p>
        </w:tc>
        <w:tc>
          <w:tcPr>
            <w:tcW w:w="1701" w:type="dxa"/>
            <w:vAlign w:val="center"/>
          </w:tcPr>
          <w:p w14:paraId="388C04B8">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150B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61" w:type="dxa"/>
            <w:vMerge w:val="continue"/>
            <w:vAlign w:val="center"/>
          </w:tcPr>
          <w:p w14:paraId="78679828">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restart"/>
            <w:vAlign w:val="center"/>
          </w:tcPr>
          <w:p w14:paraId="75633F6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3.认真履行“一岗双责”，将党风廉政建设责任制融入分管业务，细化工作措施并落实。（4分）（机关党委）</w:t>
            </w:r>
          </w:p>
        </w:tc>
        <w:tc>
          <w:tcPr>
            <w:tcW w:w="7009" w:type="dxa"/>
            <w:vAlign w:val="center"/>
          </w:tcPr>
          <w:p w14:paraId="51E1A60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（1）制定履行“一岗双责”具体措施，得1分；按要求报送基层党政负责人履责记实，全年主动报送履职纪实信息30条以上，得0.5分，40条以上，得1分；总分2分。</w:t>
            </w:r>
          </w:p>
        </w:tc>
        <w:tc>
          <w:tcPr>
            <w:tcW w:w="3402" w:type="dxa"/>
            <w:vAlign w:val="center"/>
          </w:tcPr>
          <w:p w14:paraId="75ABC868">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提供本单位本年度落实一岗双责主要措施或工作要点，并提供年度计划和总结备查</w:t>
            </w:r>
          </w:p>
        </w:tc>
        <w:tc>
          <w:tcPr>
            <w:tcW w:w="1701" w:type="dxa"/>
            <w:vAlign w:val="center"/>
          </w:tcPr>
          <w:p w14:paraId="6A932EB3">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71FB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exact"/>
          <w:jc w:val="center"/>
        </w:trPr>
        <w:tc>
          <w:tcPr>
            <w:tcW w:w="861" w:type="dxa"/>
            <w:vMerge w:val="continue"/>
            <w:vAlign w:val="center"/>
          </w:tcPr>
          <w:p w14:paraId="4B51E4A8">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598D70D3">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322790B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（2）纪检委员（纪委书记）履行党内监督责任，每半年组织1次会议研究本处室、本单位党风廉政工作，得0.5分；每年12月底向机关纪委提交年度工作报告，得1分；总分2分。</w:t>
            </w:r>
          </w:p>
        </w:tc>
        <w:tc>
          <w:tcPr>
            <w:tcW w:w="3402" w:type="dxa"/>
            <w:vAlign w:val="center"/>
          </w:tcPr>
          <w:p w14:paraId="3965D70E">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提供纪检委员工作报告、组织召开两次研究党风廉政会议相关记录</w:t>
            </w:r>
          </w:p>
        </w:tc>
        <w:tc>
          <w:tcPr>
            <w:tcW w:w="1701" w:type="dxa"/>
            <w:vAlign w:val="center"/>
          </w:tcPr>
          <w:p w14:paraId="066407B8">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1ACF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exact"/>
          <w:jc w:val="center"/>
        </w:trPr>
        <w:tc>
          <w:tcPr>
            <w:tcW w:w="861" w:type="dxa"/>
            <w:vMerge w:val="restart"/>
            <w:vAlign w:val="center"/>
          </w:tcPr>
          <w:p w14:paraId="46B5B383">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廉洁</w:t>
            </w:r>
          </w:p>
          <w:p w14:paraId="52CC0CE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从政</w:t>
            </w:r>
          </w:p>
          <w:p w14:paraId="05DF2989">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（22分）</w:t>
            </w:r>
          </w:p>
        </w:tc>
        <w:tc>
          <w:tcPr>
            <w:tcW w:w="1843" w:type="dxa"/>
            <w:vMerge w:val="restart"/>
            <w:vAlign w:val="center"/>
          </w:tcPr>
          <w:p w14:paraId="411F0BA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4、按照省级机关工委要求推进“廉洁机关”建设。（8分）（机关党委）</w:t>
            </w:r>
          </w:p>
        </w:tc>
        <w:tc>
          <w:tcPr>
            <w:tcW w:w="7009" w:type="dxa"/>
            <w:vAlign w:val="center"/>
          </w:tcPr>
          <w:p w14:paraId="7579582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（1）自行组织开展廉政专题学习1次以上，得0.5分；参加机关纪委组织的廉政专题教育和警示教育活动，出席率达80%以上的，1次得0.5分，共1分；积极参加上级主办的廉政文化主题活动，得0.5分；满分2分。</w:t>
            </w:r>
          </w:p>
        </w:tc>
        <w:tc>
          <w:tcPr>
            <w:tcW w:w="3402" w:type="dxa"/>
            <w:vAlign w:val="center"/>
          </w:tcPr>
          <w:p w14:paraId="62A97FEC">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自行组织学习需提供学习记录，参加机关纪委组织的学习和活动由机关纪委统一给分</w:t>
            </w:r>
          </w:p>
        </w:tc>
        <w:tc>
          <w:tcPr>
            <w:tcW w:w="1701" w:type="dxa"/>
            <w:vAlign w:val="center"/>
          </w:tcPr>
          <w:p w14:paraId="026DB52F">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1EF1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exact"/>
          <w:jc w:val="center"/>
        </w:trPr>
        <w:tc>
          <w:tcPr>
            <w:tcW w:w="861" w:type="dxa"/>
            <w:vMerge w:val="continue"/>
            <w:vAlign w:val="center"/>
          </w:tcPr>
          <w:p w14:paraId="5D5CFFC3">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769DAD55">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33030FC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严格落实中央八项规定及其实施细则精神和省委具体办法，持之以恒纠治“四风”，在元旦、春节、国庆、中秋4大节日前后按要求填写去向登记表并主动开展自查整治和报送自查整治情况，得0.5分；缺报一次扣0.2分，扣完为止。12月15日前报送全年贯彻落实中央八项规定精神情况报告，得0.5分。如发生违反中央八项规定精神和“四风”问题，此项不得分。</w:t>
            </w:r>
          </w:p>
        </w:tc>
        <w:tc>
          <w:tcPr>
            <w:tcW w:w="3402" w:type="dxa"/>
            <w:vAlign w:val="center"/>
          </w:tcPr>
          <w:p w14:paraId="412A6486">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机关纪委统一给分，不需提供台账</w:t>
            </w:r>
          </w:p>
        </w:tc>
        <w:tc>
          <w:tcPr>
            <w:tcW w:w="1701" w:type="dxa"/>
            <w:vAlign w:val="center"/>
          </w:tcPr>
          <w:p w14:paraId="49DF6081">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68C9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61" w:type="dxa"/>
            <w:vMerge w:val="continue"/>
            <w:vAlign w:val="center"/>
          </w:tcPr>
          <w:p w14:paraId="2B1E7C5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191F566E">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677A73A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 xml:space="preserve">（3）严格执行公务用车相关规定，严禁违规使用公务用车，严格执行公务用车使用审批与费用报销手续，得1分。如出现公务用车管理不规范问题此项不得分。 </w:t>
            </w:r>
          </w:p>
        </w:tc>
        <w:tc>
          <w:tcPr>
            <w:tcW w:w="3402" w:type="dxa"/>
            <w:vAlign w:val="center"/>
          </w:tcPr>
          <w:p w14:paraId="40BA8BC4">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经济处、机关纪委统一给分，不需提供台账</w:t>
            </w:r>
          </w:p>
        </w:tc>
        <w:tc>
          <w:tcPr>
            <w:tcW w:w="1701" w:type="dxa"/>
            <w:vAlign w:val="center"/>
          </w:tcPr>
          <w:p w14:paraId="5E260C09">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各直属单位</w:t>
            </w:r>
          </w:p>
        </w:tc>
      </w:tr>
      <w:tr w14:paraId="4379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861" w:type="dxa"/>
            <w:vMerge w:val="continue"/>
            <w:vAlign w:val="center"/>
          </w:tcPr>
          <w:p w14:paraId="46C254F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467BAD89">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52DD69B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（4）扎实开展廉政风险排查防控，及时报送相关材料，得0.5分；相关制度措施制定到位，得0.5分。如有1项风险点未制定制度或相应防控措施的，扣0.1分，扣完为止。如发生相关问题，此项不得分。</w:t>
            </w:r>
          </w:p>
        </w:tc>
        <w:tc>
          <w:tcPr>
            <w:tcW w:w="3402" w:type="dxa"/>
            <w:vAlign w:val="center"/>
          </w:tcPr>
          <w:p w14:paraId="6B6F5897">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机关纪委统一给分，不需提供台账</w:t>
            </w:r>
          </w:p>
        </w:tc>
        <w:tc>
          <w:tcPr>
            <w:tcW w:w="1701" w:type="dxa"/>
            <w:vAlign w:val="center"/>
          </w:tcPr>
          <w:p w14:paraId="4BD96C6C">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1FE7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861" w:type="dxa"/>
            <w:vMerge w:val="continue"/>
            <w:vAlign w:val="center"/>
          </w:tcPr>
          <w:p w14:paraId="55BC695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547B800C">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0FA2311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（5）扎实开展酒驾醉驾专项整治，按要求开展党纪法规学习和警示教育，得0.5分；组织党员干部签订承诺书，得0.5分，少1份扣0.1分，扣完为止。如发生相关问题，此项不得分。</w:t>
            </w:r>
          </w:p>
        </w:tc>
        <w:tc>
          <w:tcPr>
            <w:tcW w:w="3402" w:type="dxa"/>
            <w:vAlign w:val="center"/>
          </w:tcPr>
          <w:p w14:paraId="6F3E9B36">
            <w:pPr>
              <w:spacing w:line="280" w:lineRule="exact"/>
              <w:jc w:val="left"/>
              <w:rPr>
                <w:rFonts w:ascii="方正仿宋_GBK" w:hAnsi="Times New Roman" w:eastAsia="方正仿宋_GBK"/>
                <w:color w:val="000000" w:themeColor="text1"/>
                <w:sz w:val="21"/>
                <w:szCs w:val="21"/>
                <w:highlight w:val="yellow"/>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机关纪委统一给分，不需提供台账</w:t>
            </w:r>
          </w:p>
        </w:tc>
        <w:tc>
          <w:tcPr>
            <w:tcW w:w="1701" w:type="dxa"/>
            <w:vAlign w:val="center"/>
          </w:tcPr>
          <w:p w14:paraId="753B665C">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4769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861" w:type="dxa"/>
            <w:vMerge w:val="continue"/>
            <w:vAlign w:val="center"/>
          </w:tcPr>
          <w:p w14:paraId="2AA9124E">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6B673A5A">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59C28CB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（6）机关处室、直属单位及时落实外部审计、内部审计报告提出问题的整改，并整改到位的，得1分。未按时报送审计整改报告的，扣0.5分；审计发现问题未整改到位的，扣0.5分。</w:t>
            </w:r>
          </w:p>
        </w:tc>
        <w:tc>
          <w:tcPr>
            <w:tcW w:w="3402" w:type="dxa"/>
            <w:vAlign w:val="center"/>
          </w:tcPr>
          <w:p w14:paraId="70A5AE0E">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经济处统一给分，不需提供台账</w:t>
            </w:r>
          </w:p>
        </w:tc>
        <w:tc>
          <w:tcPr>
            <w:tcW w:w="1701" w:type="dxa"/>
            <w:vAlign w:val="center"/>
          </w:tcPr>
          <w:p w14:paraId="7C43DC67">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0FD8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1" w:type="dxa"/>
            <w:vMerge w:val="continue"/>
            <w:vAlign w:val="center"/>
          </w:tcPr>
          <w:p w14:paraId="2C01C72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1F93E695">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055A9103">
            <w:pPr>
              <w:spacing w:line="280" w:lineRule="exact"/>
              <w:rPr>
                <w:rFonts w:ascii="方正仿宋_GBK" w:hAnsi="Times New Roman" w:eastAsia="方正仿宋_GBK"/>
                <w:color w:val="000000" w:themeColor="text1"/>
                <w:spacing w:val="-4"/>
                <w:sz w:val="21"/>
                <w:szCs w:val="21"/>
                <w14:textFill>
                  <w14:solidFill>
                    <w14:schemeClr w14:val="tx1"/>
                  </w14:solidFill>
                </w14:textFill>
              </w:rPr>
            </w:pPr>
            <w:r>
              <w:rPr>
                <w:rFonts w:hint="eastAsia" w:ascii="方正仿宋_GBK" w:hAnsi="Times New Roman" w:eastAsia="方正仿宋_GBK"/>
                <w:color w:val="000000" w:themeColor="text1"/>
                <w:spacing w:val="-4"/>
                <w:sz w:val="21"/>
                <w:szCs w:val="21"/>
                <w14:textFill>
                  <w14:solidFill>
                    <w14:schemeClr w14:val="tx1"/>
                  </w14:solidFill>
                </w14:textFill>
              </w:rPr>
              <w:t>（7）按要求开展形式主义、官僚主义专项整治，及时报送情况报告，得1分。</w:t>
            </w:r>
          </w:p>
        </w:tc>
        <w:tc>
          <w:tcPr>
            <w:tcW w:w="3402" w:type="dxa"/>
            <w:vAlign w:val="center"/>
          </w:tcPr>
          <w:p w14:paraId="53C181DC">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机关纪委统一给分，不需提供台账</w:t>
            </w:r>
          </w:p>
        </w:tc>
        <w:tc>
          <w:tcPr>
            <w:tcW w:w="1701" w:type="dxa"/>
            <w:vAlign w:val="center"/>
          </w:tcPr>
          <w:p w14:paraId="7E1EF893">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DF7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61" w:type="dxa"/>
            <w:vMerge w:val="restart"/>
            <w:vAlign w:val="center"/>
          </w:tcPr>
          <w:p w14:paraId="3AC199C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廉洁</w:t>
            </w:r>
          </w:p>
          <w:p w14:paraId="36C0A4D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从政</w:t>
            </w:r>
          </w:p>
          <w:p w14:paraId="5B1AC71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（22分）</w:t>
            </w:r>
          </w:p>
        </w:tc>
        <w:tc>
          <w:tcPr>
            <w:tcW w:w="1843" w:type="dxa"/>
            <w:vMerge w:val="restart"/>
            <w:vAlign w:val="center"/>
          </w:tcPr>
          <w:p w14:paraId="57C7E5A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sz w:val="21"/>
                <w:szCs w:val="21"/>
              </w:rPr>
              <w:t>5.认真做好巡察、审计、监督检查等发现问题整改工作。（2分）（机关党委、经济处）</w:t>
            </w:r>
          </w:p>
        </w:tc>
        <w:tc>
          <w:tcPr>
            <w:tcW w:w="7009" w:type="dxa"/>
            <w:vAlign w:val="center"/>
          </w:tcPr>
          <w:p w14:paraId="14AB4617">
            <w:pPr>
              <w:spacing w:line="280" w:lineRule="exact"/>
              <w:rPr>
                <w:rFonts w:ascii="方正仿宋_GBK" w:hAnsi="Times New Roman" w:eastAsia="方正仿宋_GBK"/>
                <w:sz w:val="21"/>
                <w:szCs w:val="21"/>
              </w:rPr>
            </w:pPr>
            <w:r>
              <w:rPr>
                <w:rFonts w:hint="eastAsia" w:ascii="方正仿宋_GBK" w:hAnsi="Times New Roman" w:eastAsia="方正仿宋_GBK"/>
                <w:sz w:val="21"/>
                <w:szCs w:val="21"/>
              </w:rPr>
              <w:t>（1）本年度及上年度被巡察单位针对反馈问题制定整改清单，按时完成巡察反馈问题整改，得0.5分。</w:t>
            </w:r>
          </w:p>
        </w:tc>
        <w:tc>
          <w:tcPr>
            <w:tcW w:w="3402" w:type="dxa"/>
            <w:vAlign w:val="center"/>
          </w:tcPr>
          <w:p w14:paraId="2BDE09BF">
            <w:pPr>
              <w:spacing w:line="280" w:lineRule="exact"/>
              <w:jc w:val="left"/>
              <w:rPr>
                <w:rFonts w:ascii="方正仿宋_GBK" w:hAnsi="Times New Roman" w:eastAsia="方正仿宋_GBK"/>
                <w:sz w:val="21"/>
                <w:szCs w:val="21"/>
              </w:rPr>
            </w:pPr>
            <w:r>
              <w:rPr>
                <w:rFonts w:hint="eastAsia" w:ascii="方正仿宋_GBK" w:hAnsi="Times New Roman" w:eastAsia="方正仿宋_GBK"/>
                <w:sz w:val="21"/>
                <w:szCs w:val="21"/>
              </w:rPr>
              <w:t>机关党委统一给分，不需提供台帐</w:t>
            </w:r>
          </w:p>
        </w:tc>
        <w:tc>
          <w:tcPr>
            <w:tcW w:w="1701" w:type="dxa"/>
            <w:vAlign w:val="center"/>
          </w:tcPr>
          <w:p w14:paraId="0CC962BB">
            <w:pPr>
              <w:spacing w:line="280" w:lineRule="exact"/>
              <w:jc w:val="left"/>
              <w:rPr>
                <w:rFonts w:ascii="方正仿宋_GBK" w:hAnsi="Times New Roman" w:eastAsia="方正仿宋_GBK"/>
                <w:sz w:val="21"/>
                <w:szCs w:val="21"/>
              </w:rPr>
            </w:pPr>
            <w:r>
              <w:rPr>
                <w:rFonts w:hint="eastAsia" w:ascii="方正仿宋_GBK" w:hAnsi="Times New Roman" w:eastAsia="方正仿宋_GBK"/>
                <w:sz w:val="21"/>
                <w:szCs w:val="21"/>
              </w:rPr>
              <w:t>本年度及上年度被巡察单位</w:t>
            </w:r>
          </w:p>
        </w:tc>
      </w:tr>
      <w:tr w14:paraId="1E34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61" w:type="dxa"/>
            <w:vMerge w:val="continue"/>
            <w:vAlign w:val="center"/>
          </w:tcPr>
          <w:p w14:paraId="0A3CBC59">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55D2E802">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4E9B2772">
            <w:pPr>
              <w:spacing w:line="280" w:lineRule="exact"/>
              <w:rPr>
                <w:rFonts w:ascii="方正仿宋_GBK" w:hAnsi="Times New Roman" w:eastAsia="方正仿宋_GBK"/>
                <w:sz w:val="21"/>
                <w:szCs w:val="21"/>
              </w:rPr>
            </w:pPr>
            <w:r>
              <w:rPr>
                <w:rFonts w:hint="eastAsia" w:ascii="方正仿宋_GBK" w:hAnsi="Times New Roman" w:eastAsia="方正仿宋_GBK"/>
                <w:sz w:val="21"/>
                <w:szCs w:val="21"/>
              </w:rPr>
              <w:t>（2）根据纪检监察部门的监督建议、监察建议等制定整改落实措施，按时完成整改，得0.5分。</w:t>
            </w:r>
          </w:p>
        </w:tc>
        <w:tc>
          <w:tcPr>
            <w:tcW w:w="3402" w:type="dxa"/>
            <w:vAlign w:val="center"/>
          </w:tcPr>
          <w:p w14:paraId="5B569E15">
            <w:pPr>
              <w:spacing w:line="280" w:lineRule="exact"/>
              <w:jc w:val="left"/>
              <w:rPr>
                <w:rFonts w:ascii="方正仿宋_GBK" w:hAnsi="Times New Roman" w:eastAsia="方正仿宋_GBK"/>
                <w:sz w:val="21"/>
                <w:szCs w:val="21"/>
              </w:rPr>
            </w:pPr>
            <w:r>
              <w:rPr>
                <w:rFonts w:hint="eastAsia" w:ascii="方正仿宋_GBK" w:hAnsi="Times New Roman" w:eastAsia="方正仿宋_GBK"/>
                <w:sz w:val="21"/>
                <w:szCs w:val="21"/>
              </w:rPr>
              <w:t>机关党委统一给分，不需提供台帐</w:t>
            </w:r>
          </w:p>
        </w:tc>
        <w:tc>
          <w:tcPr>
            <w:tcW w:w="1701" w:type="dxa"/>
            <w:vAlign w:val="center"/>
          </w:tcPr>
          <w:p w14:paraId="500B6CCD">
            <w:pPr>
              <w:spacing w:line="280" w:lineRule="exact"/>
              <w:jc w:val="center"/>
              <w:rPr>
                <w:rFonts w:ascii="方正仿宋_GBK" w:hAnsi="Times New Roman" w:eastAsia="方正仿宋_GBK"/>
                <w:sz w:val="21"/>
                <w:szCs w:val="21"/>
              </w:rPr>
            </w:pPr>
            <w:r>
              <w:rPr>
                <w:rFonts w:hint="eastAsia" w:ascii="方正仿宋_GBK" w:hAnsi="Times New Roman" w:eastAsia="方正仿宋_GBK"/>
                <w:sz w:val="21"/>
                <w:szCs w:val="21"/>
              </w:rPr>
              <w:t>各有关单位</w:t>
            </w:r>
          </w:p>
        </w:tc>
      </w:tr>
      <w:tr w14:paraId="2901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61" w:type="dxa"/>
            <w:vMerge w:val="continue"/>
            <w:vAlign w:val="center"/>
          </w:tcPr>
          <w:p w14:paraId="0CC10B7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4EC719EC">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5DA10771">
            <w:pPr>
              <w:spacing w:line="280" w:lineRule="exact"/>
              <w:rPr>
                <w:rFonts w:ascii="方正仿宋_GBK" w:hAnsi="Times New Roman" w:eastAsia="方正仿宋_GBK"/>
                <w:sz w:val="21"/>
                <w:szCs w:val="21"/>
              </w:rPr>
            </w:pPr>
            <w:r>
              <w:rPr>
                <w:rFonts w:hint="eastAsia" w:ascii="方正仿宋_GBK" w:hAnsi="Times New Roman" w:eastAsia="方正仿宋_GBK"/>
                <w:sz w:val="21"/>
                <w:szCs w:val="21"/>
              </w:rPr>
              <w:t>（3）</w:t>
            </w:r>
            <w:r>
              <w:rPr>
                <w:rFonts w:hint="eastAsia" w:ascii="方正仿宋_GBK" w:hAnsi="Times New Roman" w:eastAsia="方正仿宋_GBK"/>
                <w:spacing w:val="-6"/>
                <w:sz w:val="21"/>
                <w:szCs w:val="21"/>
              </w:rPr>
              <w:t>根据局领导任中审计发现问题制定整改落实措施，按时完成整改，得1分。</w:t>
            </w:r>
          </w:p>
        </w:tc>
        <w:tc>
          <w:tcPr>
            <w:tcW w:w="3402" w:type="dxa"/>
            <w:vAlign w:val="center"/>
          </w:tcPr>
          <w:p w14:paraId="6C4CC03A">
            <w:pPr>
              <w:spacing w:line="280" w:lineRule="exact"/>
              <w:jc w:val="left"/>
              <w:rPr>
                <w:rFonts w:ascii="方正仿宋_GBK" w:hAnsi="Times New Roman" w:eastAsia="方正仿宋_GBK"/>
                <w:sz w:val="21"/>
                <w:szCs w:val="21"/>
              </w:rPr>
            </w:pPr>
            <w:r>
              <w:rPr>
                <w:rFonts w:hint="eastAsia" w:ascii="方正仿宋_GBK" w:hAnsi="Times New Roman" w:eastAsia="方正仿宋_GBK"/>
                <w:sz w:val="21"/>
                <w:szCs w:val="21"/>
              </w:rPr>
              <w:t>经济处统一给分，不需提供台帐</w:t>
            </w:r>
          </w:p>
        </w:tc>
        <w:tc>
          <w:tcPr>
            <w:tcW w:w="1701" w:type="dxa"/>
            <w:vAlign w:val="center"/>
          </w:tcPr>
          <w:p w14:paraId="5B9F7A41">
            <w:pPr>
              <w:spacing w:line="280" w:lineRule="exact"/>
              <w:jc w:val="center"/>
              <w:rPr>
                <w:rFonts w:ascii="方正仿宋_GBK" w:hAnsi="Times New Roman" w:eastAsia="方正仿宋_GBK"/>
                <w:sz w:val="21"/>
                <w:szCs w:val="21"/>
              </w:rPr>
            </w:pPr>
            <w:r>
              <w:rPr>
                <w:rFonts w:hint="eastAsia" w:ascii="方正仿宋_GBK" w:hAnsi="Times New Roman" w:eastAsia="方正仿宋_GBK"/>
                <w:sz w:val="21"/>
                <w:szCs w:val="21"/>
              </w:rPr>
              <w:t>各有关单位</w:t>
            </w:r>
          </w:p>
        </w:tc>
      </w:tr>
      <w:tr w14:paraId="7823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861" w:type="dxa"/>
            <w:vMerge w:val="continue"/>
            <w:vAlign w:val="center"/>
          </w:tcPr>
          <w:p w14:paraId="49B58AA8">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10D5101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6.按时报送个人有关事项。（2分）（人事处）</w:t>
            </w:r>
          </w:p>
        </w:tc>
        <w:tc>
          <w:tcPr>
            <w:tcW w:w="7009" w:type="dxa"/>
            <w:vAlign w:val="center"/>
          </w:tcPr>
          <w:p w14:paraId="3AE8C36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在规定时限里如实上报个人有关事项报告且在组织的抽查中没有发现问题的，得2分。未按《省体育局党组关于做好处级干部个人有关事项即时报告工作的通知》内容及时报告的，漏报、少报一项扣1分。</w:t>
            </w:r>
          </w:p>
        </w:tc>
        <w:tc>
          <w:tcPr>
            <w:tcW w:w="3402" w:type="dxa"/>
            <w:vAlign w:val="center"/>
          </w:tcPr>
          <w:p w14:paraId="5EC9582C">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人事处统一给分，不需提供台账</w:t>
            </w:r>
          </w:p>
        </w:tc>
        <w:tc>
          <w:tcPr>
            <w:tcW w:w="1701" w:type="dxa"/>
            <w:vAlign w:val="center"/>
          </w:tcPr>
          <w:p w14:paraId="2A1F6C3E">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D18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861" w:type="dxa"/>
            <w:vMerge w:val="restart"/>
            <w:vAlign w:val="center"/>
          </w:tcPr>
          <w:p w14:paraId="324CE20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党的</w:t>
            </w:r>
          </w:p>
          <w:p w14:paraId="7865CAE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07B3490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（26分）</w:t>
            </w:r>
          </w:p>
        </w:tc>
        <w:tc>
          <w:tcPr>
            <w:tcW w:w="1843" w:type="dxa"/>
            <w:vAlign w:val="center"/>
          </w:tcPr>
          <w:p w14:paraId="6F8099A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7.捍卫“两个确立”，做到“两个维护”，深入学习贯彻习近平总书记系列重要讲话精神。（2分）（机关党委）</w:t>
            </w:r>
          </w:p>
        </w:tc>
        <w:tc>
          <w:tcPr>
            <w:tcW w:w="7009" w:type="dxa"/>
            <w:vAlign w:val="center"/>
          </w:tcPr>
          <w:p w14:paraId="2612066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坚持“第一议题”制度，各直属党委、总支、支部及时跟进学习习近平总书记重要讲话指示批示精神，全年不少于12次，得2分。少1次扣0.5分，少2次扣1分，少3次(含)及以上，不得分。</w:t>
            </w:r>
          </w:p>
        </w:tc>
        <w:tc>
          <w:tcPr>
            <w:tcW w:w="3402" w:type="dxa"/>
            <w:vAlign w:val="center"/>
          </w:tcPr>
          <w:p w14:paraId="791BD436">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查看电子台账、相关会议记录、学习记录本、会议材料等。</w:t>
            </w:r>
          </w:p>
        </w:tc>
        <w:tc>
          <w:tcPr>
            <w:tcW w:w="1701" w:type="dxa"/>
            <w:vAlign w:val="center"/>
          </w:tcPr>
          <w:p w14:paraId="683E46F4">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4512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61" w:type="dxa"/>
            <w:vMerge w:val="continue"/>
            <w:vAlign w:val="center"/>
          </w:tcPr>
          <w:p w14:paraId="27CEAE3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10947E4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8.坚持强化理论武装，巩固拓展党史学习教育成果。坚持学习贯彻党的十九届六中全会和省第十四次党代会精神。（3分）（机关党委）</w:t>
            </w:r>
          </w:p>
        </w:tc>
        <w:tc>
          <w:tcPr>
            <w:tcW w:w="7009" w:type="dxa"/>
            <w:vAlign w:val="center"/>
          </w:tcPr>
          <w:p w14:paraId="097AA25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“十九届六中全会精神”和“省第十四次党代会精神”学习有部署或制定学习计划，得1分；学习记录齐全，得1分；按要求及时上报情况，得1分。少一项扣0.5分。</w:t>
            </w:r>
          </w:p>
        </w:tc>
        <w:tc>
          <w:tcPr>
            <w:tcW w:w="3402" w:type="dxa"/>
            <w:vAlign w:val="center"/>
          </w:tcPr>
          <w:p w14:paraId="0FB7CABC">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查看电子台账、相关会议记录、学习记录本、会议材料等。</w:t>
            </w:r>
          </w:p>
          <w:p w14:paraId="1D1CC5A6">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（上报情况由机关党委统一给分）</w:t>
            </w:r>
          </w:p>
        </w:tc>
        <w:tc>
          <w:tcPr>
            <w:tcW w:w="1701" w:type="dxa"/>
            <w:vAlign w:val="center"/>
          </w:tcPr>
          <w:p w14:paraId="75AD75E5">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2239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861" w:type="dxa"/>
            <w:vMerge w:val="restart"/>
            <w:vAlign w:val="center"/>
          </w:tcPr>
          <w:p w14:paraId="1421463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党的</w:t>
            </w:r>
          </w:p>
          <w:p w14:paraId="301D7B46">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5FEC6D7B">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（26分）</w:t>
            </w:r>
          </w:p>
        </w:tc>
        <w:tc>
          <w:tcPr>
            <w:tcW w:w="1843" w:type="dxa"/>
            <w:vAlign w:val="center"/>
          </w:tcPr>
          <w:p w14:paraId="3CCEC96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9.党支部达标定级工作。（5分）（机关党委）</w:t>
            </w:r>
          </w:p>
        </w:tc>
        <w:tc>
          <w:tcPr>
            <w:tcW w:w="7009" w:type="dxa"/>
            <w:vAlign w:val="center"/>
          </w:tcPr>
          <w:p w14:paraId="6E6AFF2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（1）党支部评分标准：获评“先进”的党支部考评得5分，达标定级评估得分95分及以上、未获评“先进”的考评得4分；得分80分-95分（不含）考评得3分；得分低于80分的，考评不得分；</w:t>
            </w:r>
          </w:p>
          <w:p w14:paraId="352058A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（2）建立党委、党总支单位的评分标准：根据所属全体党支部（含离退休支部）达标定级考评得分的综合平均分来确定得分。</w:t>
            </w:r>
          </w:p>
        </w:tc>
        <w:tc>
          <w:tcPr>
            <w:tcW w:w="3402" w:type="dxa"/>
            <w:vAlign w:val="center"/>
          </w:tcPr>
          <w:p w14:paraId="4F19DCE8">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对照“党支部达标定级”评分要求，查看电子台账、相关会议记录、学习记录本、会议材料等。</w:t>
            </w:r>
          </w:p>
          <w:p w14:paraId="2B9B8E87">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由机关党委汇总后，给出最后得分。</w:t>
            </w:r>
          </w:p>
        </w:tc>
        <w:tc>
          <w:tcPr>
            <w:tcW w:w="1701" w:type="dxa"/>
            <w:vAlign w:val="center"/>
          </w:tcPr>
          <w:p w14:paraId="5B254D60">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69FD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jc w:val="center"/>
        </w:trPr>
        <w:tc>
          <w:tcPr>
            <w:tcW w:w="861" w:type="dxa"/>
            <w:vMerge w:val="continue"/>
            <w:vAlign w:val="center"/>
          </w:tcPr>
          <w:p w14:paraId="3B0DBF86">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0E96C08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10.推进党的二十大精神系列学习宣传，开展“新思想e起学”活动，转化学习成果。（4分）（机关党委）</w:t>
            </w:r>
          </w:p>
        </w:tc>
        <w:tc>
          <w:tcPr>
            <w:tcW w:w="7009" w:type="dxa"/>
            <w:vAlign w:val="center"/>
          </w:tcPr>
          <w:p w14:paraId="7913F2E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（1）“党的二十大精神”学习有部署或制定学习计划，得0.5分；学习记录齐全，得0.5分；按要求及时上报情况，得1分；</w:t>
            </w:r>
          </w:p>
          <w:p w14:paraId="4BFA2B9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w:t>
            </w:r>
            <w:r>
              <w:rPr>
                <w:rFonts w:hint="eastAsia" w:ascii="方正仿宋_GBK" w:hAnsi="Times New Roman" w:eastAsia="方正仿宋_GBK"/>
                <w:color w:val="000000" w:themeColor="text1"/>
                <w:spacing w:val="-4"/>
                <w:sz w:val="21"/>
                <w:szCs w:val="21"/>
                <w14:textFill>
                  <w14:solidFill>
                    <w14:schemeClr w14:val="tx1"/>
                  </w14:solidFill>
                </w14:textFill>
              </w:rPr>
              <w:t>报送“奋进新征程、建功新时代”、“强国复兴有我”等主题宣传活动和学习二十大精神的特色做法，以及党员干部学习心得体会等材料，各级党支部至少报送1篇，得1分；少报1个支部（单位下属党支部）扣0.5分，少2个支部以上扣1分。推荐并被“新思想e起学”专题栏目采用、刊登的，得1分。</w:t>
            </w:r>
          </w:p>
        </w:tc>
        <w:tc>
          <w:tcPr>
            <w:tcW w:w="3402" w:type="dxa"/>
            <w:vAlign w:val="center"/>
          </w:tcPr>
          <w:p w14:paraId="745652FE">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第1项，查看电子台账、相关会议记录、学习记录本、会议材料等（上报情况由机关党委统一给分）；</w:t>
            </w:r>
          </w:p>
          <w:p w14:paraId="16B2AB5A">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第2项，机关党委统一给分，不需提供台账。</w:t>
            </w:r>
          </w:p>
        </w:tc>
        <w:tc>
          <w:tcPr>
            <w:tcW w:w="1701" w:type="dxa"/>
            <w:vAlign w:val="center"/>
          </w:tcPr>
          <w:p w14:paraId="6F98BFA7">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3C93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861" w:type="dxa"/>
            <w:vMerge w:val="continue"/>
            <w:vAlign w:val="center"/>
          </w:tcPr>
          <w:p w14:paraId="339B9A48">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36843D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11.把加强思想政治工作作为重要任务，加强干部职工思想政治工作。（2分）（机关党委）</w:t>
            </w:r>
          </w:p>
        </w:tc>
        <w:tc>
          <w:tcPr>
            <w:tcW w:w="7009" w:type="dxa"/>
          </w:tcPr>
          <w:p w14:paraId="4A06848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（1）各直属党委、总支、支部每年至少召开1次专题研究思想政治工作会议，得0.5分；</w:t>
            </w:r>
          </w:p>
          <w:p w14:paraId="0DFBC5F6">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（2）各直属党委、总支、支部每年至少安排1次专题思想政治工作理论方针政策集体学习，得0.5分；</w:t>
            </w:r>
          </w:p>
          <w:p w14:paraId="1E3976F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（3）按要求参加局系统组织的思想政治工作培训，每年不少于1次，得0.5分；</w:t>
            </w:r>
          </w:p>
          <w:p w14:paraId="35A02A8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（4）各直属党委、总支、支部每年研究并按时上报干部职工思想动态情况。得0.5分。</w:t>
            </w:r>
          </w:p>
        </w:tc>
        <w:tc>
          <w:tcPr>
            <w:tcW w:w="3402" w:type="dxa"/>
            <w:vAlign w:val="center"/>
          </w:tcPr>
          <w:p w14:paraId="6ADA7053">
            <w:pPr>
              <w:spacing w:line="280" w:lineRule="exact"/>
              <w:jc w:val="lef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第1、2条，需要提供台账。</w:t>
            </w:r>
          </w:p>
          <w:p w14:paraId="59A95B0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第3、4条，机关党委统一给分，不需提供台账。</w:t>
            </w:r>
          </w:p>
        </w:tc>
        <w:tc>
          <w:tcPr>
            <w:tcW w:w="1701" w:type="dxa"/>
            <w:vAlign w:val="center"/>
          </w:tcPr>
          <w:p w14:paraId="3A77D822">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7C62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1" w:type="dxa"/>
            <w:vMerge w:val="continue"/>
            <w:vAlign w:val="center"/>
          </w:tcPr>
          <w:p w14:paraId="45755BEE">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54521B4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12.继续推进“我为群众办实事”活动。(1分)机关党委）</w:t>
            </w:r>
          </w:p>
        </w:tc>
        <w:tc>
          <w:tcPr>
            <w:tcW w:w="7009" w:type="dxa"/>
            <w:vAlign w:val="center"/>
          </w:tcPr>
          <w:p w14:paraId="217EC79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在去年开展“我为群众办实事”基础上，继续办好民生实事且成效明显的，得1分。</w:t>
            </w:r>
          </w:p>
        </w:tc>
        <w:tc>
          <w:tcPr>
            <w:tcW w:w="3402" w:type="dxa"/>
            <w:vAlign w:val="center"/>
          </w:tcPr>
          <w:p w14:paraId="1E14B16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机关党委统一给分，不需提供台账。（相关材料统一报机关党委）</w:t>
            </w:r>
          </w:p>
        </w:tc>
        <w:tc>
          <w:tcPr>
            <w:tcW w:w="1701" w:type="dxa"/>
            <w:vAlign w:val="center"/>
          </w:tcPr>
          <w:p w14:paraId="38519428">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3F68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861" w:type="dxa"/>
            <w:vMerge w:val="restart"/>
            <w:vAlign w:val="center"/>
          </w:tcPr>
          <w:p w14:paraId="46E488E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党的</w:t>
            </w:r>
          </w:p>
          <w:p w14:paraId="244183D3">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34B8CC9B">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（26分）</w:t>
            </w:r>
          </w:p>
        </w:tc>
        <w:tc>
          <w:tcPr>
            <w:tcW w:w="1843" w:type="dxa"/>
            <w:vAlign w:val="center"/>
          </w:tcPr>
          <w:p w14:paraId="0D3A873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13.深化模范机关建设，推动党建与业务工作深度融合。（5分）（机关党委）</w:t>
            </w:r>
          </w:p>
        </w:tc>
        <w:tc>
          <w:tcPr>
            <w:tcW w:w="7009" w:type="dxa"/>
            <w:vAlign w:val="center"/>
          </w:tcPr>
          <w:p w14:paraId="3F82DFF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（1）深化党建与业务融合，年度工作做到党建与业务工作一起谋划、一起部署、一起落实、一起检查，全程工作融合的，得3分；部分工作融合的，得2分；单项工作融合的（不累加），得1分；</w:t>
            </w:r>
          </w:p>
          <w:p w14:paraId="6837886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（2）及时上报特色做法的，得1分；</w:t>
            </w:r>
          </w:p>
          <w:p w14:paraId="77A8FA2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（3）特色做法被局党建与业务融合课题采用的，得1分。</w:t>
            </w:r>
          </w:p>
        </w:tc>
        <w:tc>
          <w:tcPr>
            <w:tcW w:w="3402" w:type="dxa"/>
            <w:vAlign w:val="center"/>
          </w:tcPr>
          <w:p w14:paraId="33767646">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第1条，需要提供台账；</w:t>
            </w:r>
          </w:p>
          <w:p w14:paraId="0B724A37">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第2、3条，机关党委统一给分，不需提供台账。</w:t>
            </w:r>
          </w:p>
        </w:tc>
        <w:tc>
          <w:tcPr>
            <w:tcW w:w="1701" w:type="dxa"/>
            <w:vAlign w:val="center"/>
          </w:tcPr>
          <w:p w14:paraId="7A55BE5E">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2771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861" w:type="dxa"/>
            <w:vMerge w:val="continue"/>
            <w:vAlign w:val="center"/>
          </w:tcPr>
          <w:p w14:paraId="6EC7C3D4">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tcBorders>
              <w:top w:val="nil"/>
            </w:tcBorders>
            <w:vAlign w:val="center"/>
          </w:tcPr>
          <w:p w14:paraId="4766CB1D">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14.严格落实意识形态责任制（2分）。（机关党委）</w:t>
            </w:r>
          </w:p>
        </w:tc>
        <w:tc>
          <w:tcPr>
            <w:tcW w:w="7009" w:type="dxa"/>
            <w:vAlign w:val="center"/>
          </w:tcPr>
          <w:p w14:paraId="21750183">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（1）重视意识形态工作，认真落实局党组意识形态责任制实施办法，每年2次专题研究意识形态工作，记录完备，得1分；</w:t>
            </w:r>
          </w:p>
          <w:p w14:paraId="1AD4961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w:t>
            </w:r>
            <w:r>
              <w:rPr>
                <w:rFonts w:hint="eastAsia" w:ascii="方正仿宋_GBK" w:hAnsi="Times New Roman" w:eastAsia="方正仿宋_GBK"/>
                <w:color w:val="000000" w:themeColor="text1"/>
                <w:spacing w:val="-6"/>
                <w:sz w:val="21"/>
                <w:szCs w:val="21"/>
                <w14:textFill>
                  <w14:solidFill>
                    <w14:schemeClr w14:val="tx1"/>
                  </w14:solidFill>
                </w14:textFill>
              </w:rPr>
              <w:t>按要求开展意识形态风险点排查，并及时上报防控措施，得0.5分；</w:t>
            </w:r>
          </w:p>
          <w:p w14:paraId="75AF3AB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（3）每年上报一次落实意识形态工作责任制情况，得0.5分。</w:t>
            </w:r>
          </w:p>
          <w:p w14:paraId="7D8DD5A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如发生意识形态问题，此项不得分。</w:t>
            </w:r>
          </w:p>
        </w:tc>
        <w:tc>
          <w:tcPr>
            <w:tcW w:w="3402" w:type="dxa"/>
            <w:vAlign w:val="center"/>
          </w:tcPr>
          <w:p w14:paraId="0EDF33A3">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第1条，需要提供台账；</w:t>
            </w:r>
          </w:p>
          <w:p w14:paraId="716E1FA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第2、3条，机关党委统一给分，不需提供台账。</w:t>
            </w:r>
          </w:p>
        </w:tc>
        <w:tc>
          <w:tcPr>
            <w:tcW w:w="1701" w:type="dxa"/>
            <w:vAlign w:val="center"/>
          </w:tcPr>
          <w:p w14:paraId="5DA1412A">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01BD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861" w:type="dxa"/>
            <w:vMerge w:val="continue"/>
            <w:vAlign w:val="center"/>
          </w:tcPr>
          <w:p w14:paraId="1AD94889">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187610A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15.离退休党支部建设。（2分）（离退休干部处）</w:t>
            </w:r>
          </w:p>
        </w:tc>
        <w:tc>
          <w:tcPr>
            <w:tcW w:w="7009" w:type="dxa"/>
            <w:vAlign w:val="center"/>
          </w:tcPr>
          <w:p w14:paraId="4997483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（1）离退休干部成立党支部或党小组，得0.5分；</w:t>
            </w:r>
          </w:p>
          <w:p w14:paraId="54CC4EC3">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（2）按“六有一提升”达标，得1分；</w:t>
            </w:r>
          </w:p>
          <w:p w14:paraId="7E4DC64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（3）老同志作用发挥，得0.5分。（有志愿者服务队，或参加局志愿者服务队，或有个人公益活动）</w:t>
            </w:r>
          </w:p>
        </w:tc>
        <w:tc>
          <w:tcPr>
            <w:tcW w:w="3402" w:type="dxa"/>
            <w:vAlign w:val="center"/>
          </w:tcPr>
          <w:p w14:paraId="3F0DE0C7">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离退休干部处统一给分，不需提供台账。</w:t>
            </w:r>
          </w:p>
        </w:tc>
        <w:tc>
          <w:tcPr>
            <w:tcW w:w="1701" w:type="dxa"/>
            <w:vAlign w:val="center"/>
          </w:tcPr>
          <w:p w14:paraId="483AF40E">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有离退休干部的</w:t>
            </w:r>
          </w:p>
          <w:p w14:paraId="34C56ABC">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直属单位</w:t>
            </w:r>
          </w:p>
        </w:tc>
      </w:tr>
      <w:tr w14:paraId="2B8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861" w:type="dxa"/>
            <w:vAlign w:val="center"/>
          </w:tcPr>
          <w:p w14:paraId="11C0515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履职</w:t>
            </w:r>
          </w:p>
          <w:p w14:paraId="74E1A2E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实绩</w:t>
            </w:r>
          </w:p>
          <w:p w14:paraId="7ED8EA6C">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（30分）</w:t>
            </w:r>
          </w:p>
        </w:tc>
        <w:tc>
          <w:tcPr>
            <w:tcW w:w="1843" w:type="dxa"/>
            <w:vAlign w:val="center"/>
          </w:tcPr>
          <w:p w14:paraId="021CF59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16.督查督办工作。（7分）（办公室）</w:t>
            </w:r>
          </w:p>
        </w:tc>
        <w:tc>
          <w:tcPr>
            <w:tcW w:w="7009" w:type="dxa"/>
            <w:vAlign w:val="center"/>
          </w:tcPr>
          <w:p w14:paraId="40DA8BA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（1）年度重点工作有1项没有按时完成的（因政策调整或上级机关通知延迟、取消的除外），扣1分；</w:t>
            </w:r>
          </w:p>
          <w:p w14:paraId="128799A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（2）月度重点工作有1项未完成，扣0.5分；有1项基本完成，扣0.2分（因政策调整或上级机关通知延迟、取消的除外）；</w:t>
            </w:r>
          </w:p>
          <w:p w14:paraId="1326E2F7">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（3）未按时报送或反馈上级机关、同级部门催办的工作、月度重点工作，每1项扣0.5分；</w:t>
            </w:r>
          </w:p>
          <w:p w14:paraId="11D3CF7D">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（4）局领导要求落实的重要工作，未按督查督办通知要求完成的，每1项扣1分。以上工作，确因客观特殊原因导致未能完成的，提供书面情况说明，报局领导后定。</w:t>
            </w:r>
          </w:p>
        </w:tc>
        <w:tc>
          <w:tcPr>
            <w:tcW w:w="3402" w:type="dxa"/>
            <w:vAlign w:val="center"/>
          </w:tcPr>
          <w:p w14:paraId="789404B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办公室统一给分，不需提供台账</w:t>
            </w:r>
          </w:p>
          <w:p w14:paraId="5B6B8E34">
            <w:pPr>
              <w:spacing w:line="280" w:lineRule="exact"/>
              <w:rPr>
                <w:rFonts w:ascii="方正仿宋_GBK" w:hAnsi="Times New Roman" w:eastAsia="方正仿宋_GBK"/>
                <w:color w:val="000000" w:themeColor="text1"/>
                <w:sz w:val="21"/>
                <w:szCs w:val="21"/>
                <w14:textFill>
                  <w14:solidFill>
                    <w14:schemeClr w14:val="tx1"/>
                  </w14:solidFill>
                </w14:textFill>
              </w:rPr>
            </w:pPr>
          </w:p>
          <w:p w14:paraId="1F20FB1B">
            <w:pPr>
              <w:spacing w:line="280" w:lineRule="exact"/>
              <w:rPr>
                <w:rFonts w:ascii="方正仿宋_GBK" w:hAnsi="Times New Roman" w:eastAsia="方正仿宋_GBK"/>
                <w:b/>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（年度重点工作指</w:t>
            </w:r>
            <w:r>
              <w:rPr>
                <w:rFonts w:hint="eastAsia" w:ascii="方正仿宋_GBK" w:hAnsi="Times New Roman" w:eastAsia="方正仿宋_GBK"/>
                <w:bCs/>
                <w:color w:val="000000" w:themeColor="text1"/>
                <w:sz w:val="21"/>
                <w:szCs w:val="21"/>
                <w14:textFill>
                  <w14:solidFill>
                    <w14:schemeClr w14:val="tx1"/>
                  </w14:solidFill>
                </w14:textFill>
              </w:rPr>
              <w:t>《省体育局2022年十大主要任务50项重点工作责任分解方案》</w:t>
            </w:r>
            <w:r>
              <w:rPr>
                <w:rFonts w:hint="eastAsia" w:ascii="方正仿宋_GBK" w:hAnsi="Times New Roman" w:eastAsia="方正仿宋_GBK"/>
                <w:color w:val="000000" w:themeColor="text1"/>
                <w:sz w:val="21"/>
                <w:szCs w:val="21"/>
                <w14:textFill>
                  <w14:solidFill>
                    <w14:schemeClr w14:val="tx1"/>
                  </w14:solidFill>
                </w14:textFill>
              </w:rPr>
              <w:t>所列内容，年底前逐项汇总工作完成情况，牵头部门和相关责任部门同时扣分；月度重点工作指每月下发的《月度重点工作通知》所列内容。无重点工作安排的单位，根据其年度重点工作计划考核。）</w:t>
            </w:r>
          </w:p>
        </w:tc>
        <w:tc>
          <w:tcPr>
            <w:tcW w:w="1701" w:type="dxa"/>
            <w:vAlign w:val="center"/>
          </w:tcPr>
          <w:p w14:paraId="362CB649">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4C85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861" w:type="dxa"/>
            <w:vMerge w:val="restart"/>
            <w:vAlign w:val="center"/>
          </w:tcPr>
          <w:p w14:paraId="73D1CA04">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履职</w:t>
            </w:r>
          </w:p>
          <w:p w14:paraId="187F62CE">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实绩</w:t>
            </w:r>
          </w:p>
          <w:p w14:paraId="4667AD2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（30分）</w:t>
            </w:r>
          </w:p>
        </w:tc>
        <w:tc>
          <w:tcPr>
            <w:tcW w:w="1843" w:type="dxa"/>
            <w:vMerge w:val="restart"/>
            <w:vAlign w:val="center"/>
          </w:tcPr>
          <w:p w14:paraId="63C0C035">
            <w:pPr>
              <w:spacing w:line="280" w:lineRule="exact"/>
              <w:rPr>
                <w:rFonts w:ascii="方正仿宋_GBK" w:hAnsi="Times New Roman" w:eastAsia="方正仿宋_GBK"/>
                <w:sz w:val="21"/>
                <w:szCs w:val="21"/>
              </w:rPr>
            </w:pPr>
            <w:r>
              <w:rPr>
                <w:rFonts w:hint="eastAsia" w:ascii="方正仿宋_GBK" w:hAnsi="Times New Roman" w:eastAsia="方正仿宋_GBK"/>
                <w:color w:val="000000" w:themeColor="text1"/>
                <w:sz w:val="21"/>
                <w:szCs w:val="21"/>
                <w14:textFill>
                  <w14:solidFill>
                    <w14:schemeClr w14:val="tx1"/>
                  </w14:solidFill>
                </w14:textFill>
              </w:rPr>
              <w:t>17.新闻宣传工作。（4分）（办公室）</w:t>
            </w:r>
          </w:p>
        </w:tc>
        <w:tc>
          <w:tcPr>
            <w:tcW w:w="7009" w:type="dxa"/>
            <w:vAlign w:val="center"/>
          </w:tcPr>
          <w:p w14:paraId="745586DD">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w:t>
            </w:r>
            <w:r>
              <w:rPr>
                <w:rFonts w:hint="eastAsia" w:ascii="方正仿宋_GBK" w:hAnsi="Times New Roman" w:eastAsia="方正仿宋_GBK"/>
                <w:color w:val="000000" w:themeColor="text1"/>
                <w:spacing w:val="-4"/>
                <w:sz w:val="21"/>
                <w:szCs w:val="21"/>
                <w14:textFill>
                  <w14:solidFill>
                    <w14:schemeClr w14:val="tx1"/>
                  </w14:solidFill>
                </w14:textFill>
              </w:rPr>
              <w:t>及时公开政府服务信息，在江苏省体育局网站和微信公众号或机关党建网发布政务信息和党务信息（不含通知、公文、公告等）不少于指定数量（1分）。</w:t>
            </w:r>
          </w:p>
          <w:p w14:paraId="2483447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宋体" w:eastAsia="方正仿宋_GBK" w:cs="宋体"/>
                <w:color w:val="000000" w:themeColor="text1"/>
                <w:sz w:val="21"/>
                <w:szCs w:val="21"/>
                <w14:textFill>
                  <w14:solidFill>
                    <w14:schemeClr w14:val="tx1"/>
                  </w14:solidFill>
                </w14:textFill>
              </w:rPr>
              <w:t>①</w:t>
            </w:r>
            <w:r>
              <w:rPr>
                <w:rFonts w:hint="eastAsia" w:ascii="方正仿宋_GBK" w:hAnsi="Times New Roman" w:eastAsia="方正仿宋_GBK"/>
                <w:color w:val="000000" w:themeColor="text1"/>
                <w:sz w:val="21"/>
                <w:szCs w:val="21"/>
                <w14:textFill>
                  <w14:solidFill>
                    <w14:schemeClr w14:val="tx1"/>
                  </w14:solidFill>
                </w14:textFill>
              </w:rPr>
              <w:t>机关处室：达20条（含），得0.5分；30条（含），得1分；不足20条，不得分。</w:t>
            </w:r>
          </w:p>
          <w:p w14:paraId="0ECFA13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宋体" w:eastAsia="方正仿宋_GBK" w:cs="宋体"/>
                <w:color w:val="000000" w:themeColor="text1"/>
                <w:sz w:val="21"/>
                <w:szCs w:val="21"/>
                <w14:textFill>
                  <w14:solidFill>
                    <w14:schemeClr w14:val="tx1"/>
                  </w14:solidFill>
                </w14:textFill>
              </w:rPr>
              <w:t>②</w:t>
            </w:r>
            <w:r>
              <w:rPr>
                <w:rFonts w:hint="eastAsia" w:ascii="方正仿宋_GBK" w:hAnsi="Times New Roman" w:eastAsia="方正仿宋_GBK"/>
                <w:color w:val="000000" w:themeColor="text1"/>
                <w:sz w:val="21"/>
                <w:szCs w:val="21"/>
                <w14:textFill>
                  <w14:solidFill>
                    <w14:schemeClr w14:val="tx1"/>
                  </w14:solidFill>
                </w14:textFill>
              </w:rPr>
              <w:t>直属单位：达10条（含），得0.5分；20条（含），得1分；不足10条，不得分。</w:t>
            </w:r>
          </w:p>
        </w:tc>
        <w:tc>
          <w:tcPr>
            <w:tcW w:w="3402" w:type="dxa"/>
            <w:vAlign w:val="center"/>
          </w:tcPr>
          <w:p w14:paraId="7FD1F68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办公室统一给分，不需提供台账</w:t>
            </w:r>
          </w:p>
        </w:tc>
        <w:tc>
          <w:tcPr>
            <w:tcW w:w="1701" w:type="dxa"/>
            <w:vAlign w:val="center"/>
          </w:tcPr>
          <w:p w14:paraId="2CDB6E15">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2F86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861" w:type="dxa"/>
            <w:vMerge w:val="continue"/>
            <w:vAlign w:val="center"/>
          </w:tcPr>
          <w:p w14:paraId="7F586184">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69F22CCD">
            <w:pPr>
              <w:spacing w:line="280" w:lineRule="exact"/>
              <w:rPr>
                <w:rFonts w:ascii="方正仿宋_GBK" w:hAnsi="Times New Roman" w:eastAsia="方正仿宋_GBK"/>
                <w:sz w:val="21"/>
                <w:szCs w:val="21"/>
              </w:rPr>
            </w:pPr>
          </w:p>
        </w:tc>
        <w:tc>
          <w:tcPr>
            <w:tcW w:w="7009" w:type="dxa"/>
            <w:vAlign w:val="center"/>
          </w:tcPr>
          <w:p w14:paraId="73EEB52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（2）积极做好信息宣传工作，及时报送有效新闻宣传线索（2分）；</w:t>
            </w:r>
          </w:p>
          <w:p w14:paraId="1433F24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宋体" w:eastAsia="方正仿宋_GBK" w:cs="宋体"/>
                <w:color w:val="000000" w:themeColor="text1"/>
                <w:sz w:val="21"/>
                <w:szCs w:val="21"/>
                <w14:textFill>
                  <w14:solidFill>
                    <w14:schemeClr w14:val="tx1"/>
                  </w14:solidFill>
                </w14:textFill>
              </w:rPr>
              <w:t>①</w:t>
            </w:r>
            <w:r>
              <w:rPr>
                <w:rFonts w:hint="eastAsia" w:ascii="方正仿宋_GBK" w:hAnsi="Times New Roman" w:eastAsia="方正仿宋_GBK"/>
                <w:color w:val="000000" w:themeColor="text1"/>
                <w:sz w:val="21"/>
                <w:szCs w:val="21"/>
                <w14:textFill>
                  <w14:solidFill>
                    <w14:schemeClr w14:val="tx1"/>
                  </w14:solidFill>
                </w14:textFill>
              </w:rPr>
              <w:t>办公室、群体处、竞体处、青少处、综合处、体总秘书处、体科所、竞管中心、社体中心、青管中心、产业指导中心、体彩中心、棋牌中心、五台山体育中心、体育信息中心（体育文化中心）、各训练单位：报送有效新闻宣传线索达15条（含），得0.5分，达20条（含），得1分。线索被中央级媒体、国家行业级媒体、省级主流媒体采用达8条（含），得0.5分；15条（含），得1分。不足8条，不得分。</w:t>
            </w:r>
          </w:p>
          <w:p w14:paraId="7413451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宋体" w:eastAsia="方正仿宋_GBK" w:cs="宋体"/>
                <w:color w:val="000000" w:themeColor="text1"/>
                <w:sz w:val="21"/>
                <w:szCs w:val="21"/>
                <w14:textFill>
                  <w14:solidFill>
                    <w14:schemeClr w14:val="tx1"/>
                  </w14:solidFill>
                </w14:textFill>
              </w:rPr>
              <w:t>②</w:t>
            </w:r>
            <w:r>
              <w:rPr>
                <w:rFonts w:hint="eastAsia" w:ascii="方正仿宋_GBK" w:hAnsi="Times New Roman" w:eastAsia="方正仿宋_GBK"/>
                <w:color w:val="000000" w:themeColor="text1"/>
                <w:sz w:val="21"/>
                <w:szCs w:val="21"/>
                <w14:textFill>
                  <w14:solidFill>
                    <w14:schemeClr w14:val="tx1"/>
                  </w14:solidFill>
                </w14:textFill>
              </w:rPr>
              <w:t>人事处与离退休干部处、经济处、机关党委、交流中心、人才中心：报送有效新闻宣传线索达8条（含），得0.5分，达12条（含），得1分。线索被中央级媒体、国家行业级媒体、省级主流媒体采用达3条（含），得0.5分；5条（含），得1分；不足3条，不得分。</w:t>
            </w:r>
          </w:p>
          <w:p w14:paraId="0754FAA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 xml:space="preserve">（3）创新性经验成果被人民日报、新华社、央视三大央媒报道，并在全国范围内推广的，每条得0.5分，上限1分。 </w:t>
            </w:r>
          </w:p>
        </w:tc>
        <w:tc>
          <w:tcPr>
            <w:tcW w:w="3402" w:type="dxa"/>
            <w:vAlign w:val="center"/>
          </w:tcPr>
          <w:p w14:paraId="55AA1AB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办公室统一给分，不需提供台账</w:t>
            </w:r>
          </w:p>
          <w:p w14:paraId="18B325CC">
            <w:pPr>
              <w:spacing w:line="280" w:lineRule="exact"/>
              <w:rPr>
                <w:rFonts w:ascii="方正仿宋_GBK" w:hAnsi="Times New Roman" w:eastAsia="方正仿宋_GBK"/>
                <w:color w:val="000000" w:themeColor="text1"/>
                <w:sz w:val="21"/>
                <w:szCs w:val="21"/>
                <w14:textFill>
                  <w14:solidFill>
                    <w14:schemeClr w14:val="tx1"/>
                  </w14:solidFill>
                </w14:textFill>
              </w:rPr>
            </w:pPr>
          </w:p>
          <w:p w14:paraId="40980E5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发布的信息内容错误需调整的，每条信息扣1分，扣满4分为止。若出现意识形态等重大问题、严重表述错误、泄露国家秘密，因发布内容不当引发严重负面舆情，新闻宣传工作不得分。</w:t>
            </w:r>
          </w:p>
          <w:p w14:paraId="2AC725E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仅为活动主办方或承办方，未参与宣传工作的不算得分。</w:t>
            </w:r>
          </w:p>
          <w:p w14:paraId="1E4D20E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同一稿件被多家媒体转发的不重复计算。局官方网站及微信公众号所发信息不重复计算。联合发布的信息每家平均计算。</w:t>
            </w:r>
          </w:p>
          <w:p w14:paraId="6A14453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有效新闻宣传线索被中央级媒体采用的1条按2条计数。</w:t>
            </w:r>
          </w:p>
          <w:p w14:paraId="740794A5">
            <w:pPr>
              <w:spacing w:line="280" w:lineRule="exact"/>
              <w:rPr>
                <w:rFonts w:ascii="方正仿宋_GBK" w:hAnsi="Times New Roman" w:eastAsia="方正仿宋_GBK"/>
                <w:color w:val="000000" w:themeColor="text1"/>
                <w:sz w:val="21"/>
                <w:szCs w:val="21"/>
                <w:u w:val="single"/>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创新性经验成果报道需为有影响力的深度报道，赛事、活动、仪式等均不算在内。</w:t>
            </w:r>
          </w:p>
        </w:tc>
        <w:tc>
          <w:tcPr>
            <w:tcW w:w="1701" w:type="dxa"/>
            <w:vAlign w:val="center"/>
          </w:tcPr>
          <w:p w14:paraId="0FBB4E24">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不含后勤中心、装备中心、核算中心</w:t>
            </w:r>
          </w:p>
        </w:tc>
      </w:tr>
      <w:tr w14:paraId="5EA8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861" w:type="dxa"/>
            <w:vMerge w:val="restart"/>
            <w:vAlign w:val="center"/>
          </w:tcPr>
          <w:p w14:paraId="21BD7740">
            <w:pPr>
              <w:spacing w:line="24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履职</w:t>
            </w:r>
          </w:p>
          <w:p w14:paraId="2059E83A">
            <w:pPr>
              <w:spacing w:line="24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实绩</w:t>
            </w:r>
          </w:p>
          <w:p w14:paraId="5ED999BC">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（30分）</w:t>
            </w:r>
          </w:p>
        </w:tc>
        <w:tc>
          <w:tcPr>
            <w:tcW w:w="1843" w:type="dxa"/>
            <w:vAlign w:val="center"/>
          </w:tcPr>
          <w:p w14:paraId="451811B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18.预算单位（不含产业中心、装备中心、交流中心、人才中心）预算经费执行情况。（6分）（经济处）</w:t>
            </w:r>
          </w:p>
        </w:tc>
        <w:tc>
          <w:tcPr>
            <w:tcW w:w="7009" w:type="dxa"/>
            <w:vAlign w:val="center"/>
          </w:tcPr>
          <w:p w14:paraId="67045D7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（1）6月30日前专项预算总体执行进度高于50％，得1分（年初预算已分配下达的省本级代编和市县转移不纳入考核基数，年初预算尚未分配的省本级代编和市县转移（含中央专项）纳入考核基数）；</w:t>
            </w:r>
          </w:p>
          <w:p w14:paraId="69C8A844">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（2）9月30日前专项预算总体执行进度高于75%，得2分；</w:t>
            </w:r>
          </w:p>
          <w:p w14:paraId="0F89504C">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（3）11月30日前专项预算总体执行进度高于90%，得1分；</w:t>
            </w:r>
          </w:p>
          <w:p w14:paraId="512E1BA4">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（4）12月31日前专项预算总体执行进度高于95％，得2分。</w:t>
            </w:r>
          </w:p>
          <w:p w14:paraId="6AA3AAA8">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（体彩中心需按四个时间节点向经济处提供预算执行进度表纳入考核）</w:t>
            </w:r>
          </w:p>
        </w:tc>
        <w:tc>
          <w:tcPr>
            <w:tcW w:w="3402" w:type="dxa"/>
            <w:vAlign w:val="center"/>
          </w:tcPr>
          <w:p w14:paraId="697909C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经济处统一给分，具体执行进度率要求将根据省财政综合考核细则要求进行调整。</w:t>
            </w:r>
          </w:p>
        </w:tc>
        <w:tc>
          <w:tcPr>
            <w:tcW w:w="1701" w:type="dxa"/>
            <w:vAlign w:val="center"/>
          </w:tcPr>
          <w:p w14:paraId="68BD87AD">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不含产业中心、装备中心、交流中心、人才中心</w:t>
            </w:r>
          </w:p>
        </w:tc>
      </w:tr>
      <w:tr w14:paraId="20F8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861" w:type="dxa"/>
            <w:vMerge w:val="continue"/>
            <w:vAlign w:val="center"/>
          </w:tcPr>
          <w:p w14:paraId="11A0A67F">
            <w:pPr>
              <w:spacing w:line="24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404C1CFD">
            <w:pPr>
              <w:spacing w:line="240" w:lineRule="exact"/>
              <w:rPr>
                <w:rFonts w:ascii="方正仿宋_GBK" w:hAnsi="Times New Roman" w:eastAsia="方正仿宋_GBK"/>
                <w:i/>
                <w:iCs/>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19.自收自支单位（产业中心、装备中心、交流中心、人才中心）经济考核（6分）（经济处）</w:t>
            </w:r>
          </w:p>
        </w:tc>
        <w:tc>
          <w:tcPr>
            <w:tcW w:w="7009" w:type="dxa"/>
            <w:vAlign w:val="center"/>
          </w:tcPr>
          <w:p w14:paraId="043A119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 xml:space="preserve">（1）单位当年收支平衡，并保证当年职工工资（含绩效工资）正常发放得2分（职工工资未正常发放的，每月扣0.5分，最多扣1分；绩效未正常发放的，扣1分）； </w:t>
            </w:r>
          </w:p>
          <w:p w14:paraId="29EE8F25">
            <w:pPr>
              <w:spacing w:line="240" w:lineRule="exact"/>
              <w:rPr>
                <w:rFonts w:ascii="方正仿宋_GBK" w:hAnsi="Times New Roman" w:eastAsia="方正仿宋_GBK"/>
                <w:i/>
                <w:iCs/>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（2）当年完成系统外创收收入情况（不含局拨财政专项经费和系统内其他单位来源的事业收入）（4分）（其中：当年创收收入≥60万元，得2分；当年创收收入≥80万元，得3分；当年创收收入≥100万元，得4分。）</w:t>
            </w:r>
          </w:p>
        </w:tc>
        <w:tc>
          <w:tcPr>
            <w:tcW w:w="3402" w:type="dxa"/>
            <w:vAlign w:val="center"/>
          </w:tcPr>
          <w:p w14:paraId="527AF48E">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经济处统一给分，不需提供台账</w:t>
            </w:r>
          </w:p>
        </w:tc>
        <w:tc>
          <w:tcPr>
            <w:tcW w:w="1701" w:type="dxa"/>
            <w:vAlign w:val="center"/>
          </w:tcPr>
          <w:p w14:paraId="15AD2BA7">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产业中心、装备中心、交流中心、人才中心</w:t>
            </w:r>
          </w:p>
        </w:tc>
      </w:tr>
      <w:tr w14:paraId="0491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2" w:hRule="atLeast"/>
          <w:jc w:val="center"/>
        </w:trPr>
        <w:tc>
          <w:tcPr>
            <w:tcW w:w="861" w:type="dxa"/>
            <w:vMerge w:val="continue"/>
            <w:vAlign w:val="center"/>
          </w:tcPr>
          <w:p w14:paraId="304BAD71">
            <w:pPr>
              <w:spacing w:line="24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3768A17">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20.专项资金绩效管理（3分）（经济处）</w:t>
            </w:r>
          </w:p>
        </w:tc>
        <w:tc>
          <w:tcPr>
            <w:tcW w:w="7009" w:type="dxa"/>
            <w:vAlign w:val="center"/>
          </w:tcPr>
          <w:p w14:paraId="630B9EBB">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（1）本项考核范围包含中央公益金转移支付预算绩效和省级预算绩效；</w:t>
            </w:r>
          </w:p>
          <w:p w14:paraId="3C02BE94">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（2）2021年度预算绩效评价结果（1.5分）；</w:t>
            </w:r>
          </w:p>
          <w:p w14:paraId="65E39167">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 xml:space="preserve">   经综合评审，绩效自评价结果达“优秀”等级得1.5分，达“良好”等级得1分，达“一般”等级得0.5分。（机关处室绩效评价仅考核专项绩效，直属单位包含整体绩效与专项绩效，分别按30%和70%的权重综合计分。如单个专项涉及多个处室，结合该专项评价等级、各处室执行进度等因素分别计分；如相关处室或单位涉及多个专项，按各专项评分的平均值计算定级。）；</w:t>
            </w:r>
          </w:p>
          <w:p w14:paraId="6934AF9C">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（3）2022年度绩效管理各项相关工作，包含日常绩效工作、半年监控和2023年度预算绩效（含中央和省级）绩效目标编制工作。（1.5分）。</w:t>
            </w:r>
          </w:p>
          <w:p w14:paraId="5E65D785">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备注：</w:t>
            </w:r>
            <w:r>
              <w:rPr>
                <w:rFonts w:hint="eastAsia" w:ascii="方正仿宋_GBK" w:hAnsi="宋体" w:eastAsia="方正仿宋_GBK" w:cs="宋体"/>
                <w:color w:val="000000" w:themeColor="text1"/>
                <w:sz w:val="21"/>
                <w:szCs w:val="21"/>
                <w14:textFill>
                  <w14:solidFill>
                    <w14:schemeClr w14:val="tx1"/>
                  </w14:solidFill>
                </w14:textFill>
              </w:rPr>
              <w:t>①</w:t>
            </w:r>
            <w:r>
              <w:rPr>
                <w:rFonts w:hint="eastAsia" w:ascii="方正仿宋_GBK" w:hAnsi="Times New Roman" w:eastAsia="方正仿宋_GBK"/>
                <w:color w:val="000000" w:themeColor="text1"/>
                <w:sz w:val="21"/>
                <w:szCs w:val="21"/>
                <w14:textFill>
                  <w14:solidFill>
                    <w14:schemeClr w14:val="tx1"/>
                  </w14:solidFill>
                </w14:textFill>
              </w:rPr>
              <w:t>承担职能处室相关专项的自收自支单位，对所实施的项目，采用与对应职能处室相同的绩效评价标准进行考核。如上述单位2021年度预算绩效评价结果未达“良好”（含）以上等级或2023年度预算绩效目标编制完成情况较差，对应职能处室应再扣减0.2分的监管分。</w:t>
            </w:r>
          </w:p>
          <w:p w14:paraId="6F1E8EA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宋体" w:eastAsia="方正仿宋_GBK" w:cs="宋体"/>
                <w:color w:val="000000" w:themeColor="text1"/>
                <w:sz w:val="21"/>
                <w:szCs w:val="21"/>
                <w14:textFill>
                  <w14:solidFill>
                    <w14:schemeClr w14:val="tx1"/>
                  </w14:solidFill>
                </w14:textFill>
              </w:rPr>
              <w:t>②</w:t>
            </w:r>
            <w:r>
              <w:rPr>
                <w:rFonts w:hint="eastAsia" w:ascii="方正仿宋_GBK" w:hAnsi="Times New Roman" w:eastAsia="方正仿宋_GBK"/>
                <w:color w:val="000000" w:themeColor="text1"/>
                <w:sz w:val="21"/>
                <w:szCs w:val="21"/>
                <w14:textFill>
                  <w14:solidFill>
                    <w14:schemeClr w14:val="tx1"/>
                  </w14:solidFill>
                </w14:textFill>
              </w:rPr>
              <w:t>体彩中心需及时向经济处提供2021年度绩效自评价报告和2023年度财政绩效目标编制的评审结果等相关资料。</w:t>
            </w:r>
          </w:p>
        </w:tc>
        <w:tc>
          <w:tcPr>
            <w:tcW w:w="3402" w:type="dxa"/>
            <w:vAlign w:val="center"/>
          </w:tcPr>
          <w:p w14:paraId="36A4C22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经济处统一给分，不需提供台账</w:t>
            </w:r>
          </w:p>
        </w:tc>
        <w:tc>
          <w:tcPr>
            <w:tcW w:w="1701" w:type="dxa"/>
            <w:vAlign w:val="center"/>
          </w:tcPr>
          <w:p w14:paraId="7C602A8A">
            <w:pPr>
              <w:spacing w:line="24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7886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61" w:type="dxa"/>
            <w:vMerge w:val="restart"/>
            <w:vAlign w:val="center"/>
          </w:tcPr>
          <w:p w14:paraId="34E47424">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履职</w:t>
            </w:r>
          </w:p>
          <w:p w14:paraId="32DE0D1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实绩</w:t>
            </w:r>
          </w:p>
          <w:p w14:paraId="545897D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（30分）</w:t>
            </w:r>
          </w:p>
        </w:tc>
        <w:tc>
          <w:tcPr>
            <w:tcW w:w="1843" w:type="dxa"/>
            <w:vAlign w:val="center"/>
          </w:tcPr>
          <w:p w14:paraId="3B6DBC14">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21.经济合同管理。（1分）</w:t>
            </w:r>
          </w:p>
          <w:p w14:paraId="3BB0C55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w:t>
            </w:r>
          </w:p>
        </w:tc>
        <w:tc>
          <w:tcPr>
            <w:tcW w:w="7009" w:type="dxa"/>
            <w:vAlign w:val="center"/>
          </w:tcPr>
          <w:p w14:paraId="52B24E27">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开展局经济合同管理情况检查，合同管理规范无违规事项，得1分（其中：重大经济合同未按程序审批及备案、因合同履行被诉讼且败诉的不得分。未按时提交自查情况报告及履行情况明细表扣0.5分；经济合同签订未按规定履行审批和备案程序，扣0.5分）。</w:t>
            </w:r>
          </w:p>
        </w:tc>
        <w:tc>
          <w:tcPr>
            <w:tcW w:w="3402" w:type="dxa"/>
            <w:vAlign w:val="center"/>
          </w:tcPr>
          <w:p w14:paraId="0DD93918">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经济处统一给分，不需提供台账</w:t>
            </w:r>
          </w:p>
        </w:tc>
        <w:tc>
          <w:tcPr>
            <w:tcW w:w="1701" w:type="dxa"/>
            <w:vAlign w:val="center"/>
          </w:tcPr>
          <w:p w14:paraId="152C7DC9">
            <w:pPr>
              <w:spacing w:line="24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16D7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861" w:type="dxa"/>
            <w:vMerge w:val="continue"/>
            <w:vAlign w:val="center"/>
          </w:tcPr>
          <w:p w14:paraId="34A8D4A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2E9F83D">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22.资产管理。（1分）（经济处）</w:t>
            </w:r>
          </w:p>
        </w:tc>
        <w:tc>
          <w:tcPr>
            <w:tcW w:w="7009" w:type="dxa"/>
            <w:vAlign w:val="center"/>
          </w:tcPr>
          <w:p w14:paraId="6562E04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各处室、单位提供截止2021年12月31日本处室、单位固定资产清查工作的详实报告（含上年资产盘点情况、发现的问题、下一年度工作打算及资产盘点表），得0.5分；未按时提交报告、报告不详实、无资产盘点表，不得分；</w:t>
            </w:r>
          </w:p>
          <w:p w14:paraId="7AE2F3A0">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（2）各处室、单位固定资产账实相符、账账相符且条形码齐全得0.5分。存在盘亏扣0.25分、条形码未张贴齐全扣0.25分；</w:t>
            </w:r>
          </w:p>
          <w:p w14:paraId="7379D7A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（3）每年财政厅国有资产绩效评价管理未达80分的不得分。</w:t>
            </w:r>
          </w:p>
        </w:tc>
        <w:tc>
          <w:tcPr>
            <w:tcW w:w="3402" w:type="dxa"/>
            <w:vAlign w:val="center"/>
          </w:tcPr>
          <w:p w14:paraId="4ECC4106">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经济处统一给分，不需提供台账</w:t>
            </w:r>
          </w:p>
        </w:tc>
        <w:tc>
          <w:tcPr>
            <w:tcW w:w="1701" w:type="dxa"/>
            <w:vAlign w:val="center"/>
          </w:tcPr>
          <w:p w14:paraId="12F9CADD">
            <w:pPr>
              <w:spacing w:line="24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29D4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861" w:type="dxa"/>
            <w:vMerge w:val="continue"/>
            <w:vAlign w:val="center"/>
          </w:tcPr>
          <w:p w14:paraId="3145E93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restart"/>
            <w:vAlign w:val="center"/>
          </w:tcPr>
          <w:p w14:paraId="7B6493FB">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23.相关处室和直属单位扎实推进运动队反兴奋剂工作。（6分）（综合处）</w:t>
            </w:r>
          </w:p>
        </w:tc>
        <w:tc>
          <w:tcPr>
            <w:tcW w:w="7009" w:type="dxa"/>
            <w:vAlign w:val="center"/>
          </w:tcPr>
          <w:p w14:paraId="0F28DA01">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（1）群体处、竞体处、青少处、综合处、体总秘书处、体科所、社体中心、青管中心等处室、单位在各自职责范围内推动反兴奋剂工作，相关资料真实完整，得6分。</w:t>
            </w:r>
          </w:p>
          <w:p w14:paraId="18CD9C2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（其中，及时传达总局和省体育局关于反兴奋剂工作部署和要求得2分，结合业务工作，在工作计划和总结中体现反兴奋剂工作内容得2分，认真落实反兴奋剂工作要求具体举措得2分）</w:t>
            </w:r>
          </w:p>
        </w:tc>
        <w:tc>
          <w:tcPr>
            <w:tcW w:w="3402" w:type="dxa"/>
            <w:vAlign w:val="center"/>
          </w:tcPr>
          <w:p w14:paraId="0BBC5A8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sz w:val="21"/>
                <w:szCs w:val="21"/>
              </w:rPr>
              <w:t>各单位提供部署文件、工作计划和总结、责任体系和管理制度等相关文件。</w:t>
            </w:r>
          </w:p>
        </w:tc>
        <w:tc>
          <w:tcPr>
            <w:tcW w:w="1701" w:type="dxa"/>
            <w:vAlign w:val="center"/>
          </w:tcPr>
          <w:p w14:paraId="50F28244">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群体处、竞体处、青少处、综合处、体总秘书处、体科所、社体中心、青管中心</w:t>
            </w:r>
          </w:p>
        </w:tc>
      </w:tr>
      <w:tr w14:paraId="6A0B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861" w:type="dxa"/>
            <w:vMerge w:val="continue"/>
            <w:vAlign w:val="center"/>
          </w:tcPr>
          <w:p w14:paraId="6FBC772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316783B9">
            <w:pPr>
              <w:spacing w:line="24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0F158742">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训练中心、方山基地、足球中心、水上中心、棋牌中心等训练单位认真落实反兴奋剂工作部署，建立健全反兴奋剂责任体系和管理制度，采取有效措施，未出现兴奋剂违规问题，且台账资料健全，得3分。（其中，及时传达总局和省体育局关于反兴奋剂工作部署和要求得0.5分，建立健全反兴奋剂责任体系得1分，建立健全反兴奋剂管理制度得0.5分，</w:t>
            </w:r>
            <w:r>
              <w:rPr>
                <w:rFonts w:hint="eastAsia" w:ascii="方正仿宋_GBK" w:hAnsi="Times New Roman" w:eastAsia="方正仿宋_GBK"/>
                <w:sz w:val="21"/>
                <w:szCs w:val="21"/>
              </w:rPr>
              <w:t>未出现兴奋剂违规问题得1分；出现1例兴奋剂违规不得分，出现运动员行踪信息申报错误每1例扣0.3分）</w:t>
            </w:r>
          </w:p>
        </w:tc>
        <w:tc>
          <w:tcPr>
            <w:tcW w:w="3402" w:type="dxa"/>
            <w:vAlign w:val="center"/>
          </w:tcPr>
          <w:p w14:paraId="0114BE16">
            <w:pPr>
              <w:spacing w:line="240" w:lineRule="exact"/>
              <w:rPr>
                <w:rFonts w:ascii="方正仿宋_GBK" w:hAnsi="Times New Roman" w:eastAsia="方正仿宋_GBK"/>
                <w:sz w:val="21"/>
                <w:szCs w:val="21"/>
              </w:rPr>
            </w:pPr>
            <w:r>
              <w:rPr>
                <w:rFonts w:hint="eastAsia" w:ascii="方正仿宋_GBK" w:hAnsi="Times New Roman" w:eastAsia="方正仿宋_GBK"/>
                <w:sz w:val="21"/>
                <w:szCs w:val="21"/>
              </w:rPr>
              <w:t>各单位提供部署文件、工作计划和总结、责任体系和管理制度等相关文件。</w:t>
            </w:r>
          </w:p>
          <w:p w14:paraId="39662295">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sz w:val="21"/>
                <w:szCs w:val="21"/>
              </w:rPr>
              <w:t>（出现兴奋剂违规问题，由综合处统一给分，不需提供台账）</w:t>
            </w:r>
          </w:p>
        </w:tc>
        <w:tc>
          <w:tcPr>
            <w:tcW w:w="1701" w:type="dxa"/>
            <w:vAlign w:val="center"/>
          </w:tcPr>
          <w:p w14:paraId="387F2BDC">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训练中心、方山基地、足球中心、水上中心、棋牌中心</w:t>
            </w:r>
          </w:p>
        </w:tc>
      </w:tr>
      <w:tr w14:paraId="4B60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61" w:type="dxa"/>
            <w:vMerge w:val="continue"/>
            <w:vAlign w:val="center"/>
          </w:tcPr>
          <w:p w14:paraId="20158641">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449FB62B">
            <w:pPr>
              <w:spacing w:line="24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09AED527">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（3）训练中心、方山基地、足球中心、水上中心、棋牌中心等训练单位坚持“预防为主、教育为本”的原则，组织开展反兴奋剂宣传教育，积极推进“纯洁体育”APP学习使用，得3分。</w:t>
            </w:r>
          </w:p>
          <w:p w14:paraId="209284D6">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（其中，及时完成准入教育得1分；落实“纯洁体育”APP学习制度，学习上线率达到100%得1分，未达到100%不得分；合格率达到80%得1分，否则不得分。）。</w:t>
            </w:r>
          </w:p>
        </w:tc>
        <w:tc>
          <w:tcPr>
            <w:tcW w:w="3402" w:type="dxa"/>
            <w:vAlign w:val="center"/>
          </w:tcPr>
          <w:p w14:paraId="25DA4D13">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综合处统一给分，不需提供台账</w:t>
            </w:r>
          </w:p>
        </w:tc>
        <w:tc>
          <w:tcPr>
            <w:tcW w:w="1701" w:type="dxa"/>
            <w:vAlign w:val="center"/>
          </w:tcPr>
          <w:p w14:paraId="039B051B">
            <w:pPr>
              <w:spacing w:line="24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训练中心、方山基地、足球中心、水上中心、棋牌中心</w:t>
            </w:r>
          </w:p>
        </w:tc>
      </w:tr>
      <w:tr w14:paraId="3BF4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861" w:type="dxa"/>
            <w:vMerge w:val="restart"/>
            <w:vAlign w:val="center"/>
          </w:tcPr>
          <w:p w14:paraId="7356847D">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履职</w:t>
            </w:r>
          </w:p>
          <w:p w14:paraId="3F1E5A6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实绩</w:t>
            </w:r>
          </w:p>
          <w:p w14:paraId="54F21C1F">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（30分）</w:t>
            </w:r>
          </w:p>
        </w:tc>
        <w:tc>
          <w:tcPr>
            <w:tcW w:w="1843" w:type="dxa"/>
            <w:vMerge w:val="restart"/>
            <w:vAlign w:val="center"/>
          </w:tcPr>
          <w:p w14:paraId="2728C72F">
            <w:pPr>
              <w:spacing w:line="280" w:lineRule="exact"/>
              <w:rPr>
                <w:rFonts w:ascii="方正仿宋_GBK" w:hAnsi="Times New Roman" w:eastAsia="方正仿宋_GBK"/>
                <w:color w:val="000000" w:themeColor="text1"/>
                <w:spacing w:val="-4"/>
                <w:sz w:val="21"/>
                <w:szCs w:val="21"/>
                <w14:textFill>
                  <w14:solidFill>
                    <w14:schemeClr w14:val="tx1"/>
                  </w14:solidFill>
                </w14:textFill>
              </w:rPr>
            </w:pPr>
            <w:r>
              <w:rPr>
                <w:rFonts w:hint="eastAsia" w:ascii="方正仿宋_GBK" w:hAnsi="Times New Roman" w:eastAsia="方正仿宋_GBK"/>
                <w:color w:val="000000" w:themeColor="text1"/>
                <w:spacing w:val="-4"/>
                <w:sz w:val="21"/>
                <w:szCs w:val="21"/>
                <w14:textFill>
                  <w14:solidFill>
                    <w14:schemeClr w14:val="tx1"/>
                  </w14:solidFill>
                </w14:textFill>
              </w:rPr>
              <w:t>24.各训练单位（局训练中心、省方山训练基地、省江宁足球训练基地、局水上运动管理中心、省棋牌运动管理中心）运动员文化教育工作推进情况。（2分）（综合处）</w:t>
            </w:r>
          </w:p>
        </w:tc>
        <w:tc>
          <w:tcPr>
            <w:tcW w:w="7009" w:type="dxa"/>
            <w:vAlign w:val="center"/>
          </w:tcPr>
          <w:p w14:paraId="4A57E44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（1）明确文化教育分管领导和职能部门，落实专人负责相关工作，制定教学计划，落实日常管理制度，得0.5分；</w:t>
            </w:r>
          </w:p>
          <w:p w14:paraId="40EFB66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（2）优秀运动队运动员每周学习时间达到12学时，业余运动员每周学习时间达到24学时，得0.5分；</w:t>
            </w:r>
          </w:p>
          <w:p w14:paraId="751C8A9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（3）义务教育阶段适龄运动员全部实质性接受文化教育，得0.5分。</w:t>
            </w:r>
          </w:p>
        </w:tc>
        <w:tc>
          <w:tcPr>
            <w:tcW w:w="3402" w:type="dxa"/>
            <w:vAlign w:val="center"/>
          </w:tcPr>
          <w:p w14:paraId="7ECC6140">
            <w:pPr>
              <w:spacing w:line="280" w:lineRule="exact"/>
              <w:rPr>
                <w:rFonts w:ascii="方正仿宋_GBK" w:hAnsi="Times New Roman" w:eastAsia="方正仿宋_GBK"/>
                <w:sz w:val="21"/>
                <w:szCs w:val="21"/>
              </w:rPr>
            </w:pPr>
            <w:r>
              <w:rPr>
                <w:rFonts w:hint="eastAsia" w:ascii="方正仿宋_GBK" w:hAnsi="Times New Roman" w:eastAsia="方正仿宋_GBK"/>
                <w:sz w:val="21"/>
                <w:szCs w:val="21"/>
              </w:rPr>
              <w:t>第1、2条，各单位提供相关文件、教学管理台账、运动员上课考勤及学习时长记录表等。</w:t>
            </w:r>
          </w:p>
          <w:p w14:paraId="57A450F8">
            <w:pPr>
              <w:spacing w:line="280" w:lineRule="exact"/>
              <w:rPr>
                <w:rFonts w:ascii="方正仿宋_GBK" w:hAnsi="Times New Roman" w:eastAsia="方正仿宋_GBK"/>
                <w:b/>
                <w:color w:val="000000" w:themeColor="text1"/>
                <w:sz w:val="21"/>
                <w:szCs w:val="21"/>
                <w14:textFill>
                  <w14:solidFill>
                    <w14:schemeClr w14:val="tx1"/>
                  </w14:solidFill>
                </w14:textFill>
              </w:rPr>
            </w:pPr>
            <w:r>
              <w:rPr>
                <w:rFonts w:hint="eastAsia" w:ascii="方正仿宋_GBK" w:hAnsi="Times New Roman" w:eastAsia="方正仿宋_GBK"/>
                <w:sz w:val="21"/>
                <w:szCs w:val="21"/>
              </w:rPr>
              <w:t>第3条，综合处统一给分，不需提供台账</w:t>
            </w:r>
          </w:p>
        </w:tc>
        <w:tc>
          <w:tcPr>
            <w:tcW w:w="1701" w:type="dxa"/>
            <w:vMerge w:val="restart"/>
            <w:vAlign w:val="center"/>
          </w:tcPr>
          <w:p w14:paraId="12D1EC4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训练中心、方山基地、足球中心、水上中心、棋牌中心</w:t>
            </w:r>
          </w:p>
        </w:tc>
      </w:tr>
      <w:tr w14:paraId="663E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861" w:type="dxa"/>
            <w:vMerge w:val="continue"/>
            <w:vAlign w:val="center"/>
          </w:tcPr>
          <w:p w14:paraId="2F2C1A1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45FA0CC6">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71E5146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（4）选招运动员文化考试及格率达到50%（成绩达到60分为及格），得0.25分；考试通过率达到100%（参加文化考试未被淘汰为通过），得0.25分。</w:t>
            </w:r>
          </w:p>
        </w:tc>
        <w:tc>
          <w:tcPr>
            <w:tcW w:w="3402" w:type="dxa"/>
            <w:vAlign w:val="center"/>
          </w:tcPr>
          <w:p w14:paraId="5B6D43D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综合处统一给分，不需提供台账</w:t>
            </w:r>
          </w:p>
        </w:tc>
        <w:tc>
          <w:tcPr>
            <w:tcW w:w="1701" w:type="dxa"/>
            <w:vMerge w:val="continue"/>
            <w:vAlign w:val="center"/>
          </w:tcPr>
          <w:p w14:paraId="00CD6A58">
            <w:pPr>
              <w:spacing w:line="280" w:lineRule="exact"/>
              <w:rPr>
                <w:rFonts w:ascii="方正仿宋_GBK" w:hAnsi="Times New Roman" w:eastAsia="方正仿宋_GBK"/>
                <w:color w:val="000000" w:themeColor="text1"/>
                <w:sz w:val="21"/>
                <w:szCs w:val="21"/>
                <w14:textFill>
                  <w14:solidFill>
                    <w14:schemeClr w14:val="tx1"/>
                  </w14:solidFill>
                </w14:textFill>
              </w:rPr>
            </w:pPr>
          </w:p>
        </w:tc>
      </w:tr>
      <w:tr w14:paraId="32DC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61" w:type="dxa"/>
            <w:vMerge w:val="restart"/>
            <w:tcBorders>
              <w:top w:val="nil"/>
            </w:tcBorders>
            <w:vAlign w:val="center"/>
          </w:tcPr>
          <w:p w14:paraId="42EB7B0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自身</w:t>
            </w:r>
          </w:p>
          <w:p w14:paraId="7C0A1D5C">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298B5EE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（12分）</w:t>
            </w:r>
          </w:p>
        </w:tc>
        <w:tc>
          <w:tcPr>
            <w:tcW w:w="1843" w:type="dxa"/>
            <w:vAlign w:val="center"/>
          </w:tcPr>
          <w:p w14:paraId="206C85C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25.中心组成员积极参加局党组中心组学习。（2分）（机关党委）</w:t>
            </w:r>
          </w:p>
        </w:tc>
        <w:tc>
          <w:tcPr>
            <w:tcW w:w="7009" w:type="dxa"/>
            <w:vAlign w:val="center"/>
          </w:tcPr>
          <w:p w14:paraId="4603F1F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机关处室、直属单位中心组成员（以部门为单位）全年参加中心组学习人均10次（含），得2分；少于10次，不得分。</w:t>
            </w:r>
          </w:p>
        </w:tc>
        <w:tc>
          <w:tcPr>
            <w:tcW w:w="3402" w:type="dxa"/>
            <w:vAlign w:val="center"/>
          </w:tcPr>
          <w:p w14:paraId="2A55D51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机关党委统一给分，不需提供台账</w:t>
            </w:r>
          </w:p>
        </w:tc>
        <w:tc>
          <w:tcPr>
            <w:tcW w:w="1701" w:type="dxa"/>
            <w:vAlign w:val="center"/>
          </w:tcPr>
          <w:p w14:paraId="69EA5124">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A1A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861" w:type="dxa"/>
            <w:vMerge w:val="continue"/>
            <w:vAlign w:val="center"/>
          </w:tcPr>
          <w:p w14:paraId="60537F08">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33AD9B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26.深入基层开展调研。（1分）（机关党委）</w:t>
            </w:r>
          </w:p>
        </w:tc>
        <w:tc>
          <w:tcPr>
            <w:tcW w:w="7009" w:type="dxa"/>
            <w:vAlign w:val="center"/>
          </w:tcPr>
          <w:p w14:paraId="516D53F6">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结合年度工作部署，深入基层开展调研，按时提交高质量调研报告的，得1分。（调研报告中应包括调研目的、具体建议等内容，篇幅不少于3000字）</w:t>
            </w:r>
          </w:p>
        </w:tc>
        <w:tc>
          <w:tcPr>
            <w:tcW w:w="3402" w:type="dxa"/>
            <w:vAlign w:val="center"/>
          </w:tcPr>
          <w:p w14:paraId="127F742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机关党委统一给分，不需提供台账</w:t>
            </w:r>
          </w:p>
        </w:tc>
        <w:tc>
          <w:tcPr>
            <w:tcW w:w="1701" w:type="dxa"/>
            <w:vAlign w:val="center"/>
          </w:tcPr>
          <w:p w14:paraId="3F694129">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41C3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861" w:type="dxa"/>
            <w:vMerge w:val="continue"/>
            <w:vAlign w:val="center"/>
          </w:tcPr>
          <w:p w14:paraId="5DCD550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B37ABD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27.组织开展“乡情微调研”活动。（1分）（机关党委）</w:t>
            </w:r>
          </w:p>
        </w:tc>
        <w:tc>
          <w:tcPr>
            <w:tcW w:w="7009" w:type="dxa"/>
            <w:vAlign w:val="center"/>
          </w:tcPr>
          <w:p w14:paraId="7364056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形成“乡情微调研”调研报告（或民情日记），直属党委至少报送3篇、直属党总支至少2篇、直属党支部至少1篇，得0.5分；被择优推荐参加省级机关评选的，得0.5分。</w:t>
            </w:r>
          </w:p>
        </w:tc>
        <w:tc>
          <w:tcPr>
            <w:tcW w:w="3402" w:type="dxa"/>
            <w:vAlign w:val="center"/>
          </w:tcPr>
          <w:p w14:paraId="5FDD545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机关党委统一给分，不需提供台账</w:t>
            </w:r>
          </w:p>
        </w:tc>
        <w:tc>
          <w:tcPr>
            <w:tcW w:w="1701" w:type="dxa"/>
            <w:vAlign w:val="center"/>
          </w:tcPr>
          <w:p w14:paraId="2EC56D49">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1A3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861" w:type="dxa"/>
            <w:vMerge w:val="restart"/>
            <w:vAlign w:val="center"/>
          </w:tcPr>
          <w:p w14:paraId="136F47F9">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自身</w:t>
            </w:r>
          </w:p>
          <w:p w14:paraId="7522DA83">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5DA161D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（12分）</w:t>
            </w:r>
          </w:p>
        </w:tc>
        <w:tc>
          <w:tcPr>
            <w:tcW w:w="1843" w:type="dxa"/>
            <w:vMerge w:val="restart"/>
            <w:vAlign w:val="center"/>
          </w:tcPr>
          <w:p w14:paraId="6AB6B3C6">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28.重视学习型处室（单位）建设，机关人员、直属单位处以上干部每人至少提交1篇2000字以上的理论学习心得体会；机关处级干部完成在线学习。（2分）（机关党委、人事处）</w:t>
            </w:r>
          </w:p>
        </w:tc>
        <w:tc>
          <w:tcPr>
            <w:tcW w:w="7009" w:type="dxa"/>
            <w:vAlign w:val="center"/>
          </w:tcPr>
          <w:p w14:paraId="42CC9D2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（1）按要求撰写理论学习心得体会的，得1分，少1篇扣0.5分，扣完为止。</w:t>
            </w:r>
          </w:p>
        </w:tc>
        <w:tc>
          <w:tcPr>
            <w:tcW w:w="3402" w:type="dxa"/>
            <w:vAlign w:val="center"/>
          </w:tcPr>
          <w:p w14:paraId="29132BD9">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 xml:space="preserve">需要提供台账 </w:t>
            </w:r>
          </w:p>
        </w:tc>
        <w:tc>
          <w:tcPr>
            <w:tcW w:w="1701" w:type="dxa"/>
            <w:vAlign w:val="center"/>
          </w:tcPr>
          <w:p w14:paraId="6F6D98C4">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629B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861" w:type="dxa"/>
            <w:vMerge w:val="continue"/>
            <w:vAlign w:val="center"/>
          </w:tcPr>
          <w:p w14:paraId="487FF6A6">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Merge w:val="continue"/>
            <w:vAlign w:val="center"/>
          </w:tcPr>
          <w:p w14:paraId="5C18A0C0">
            <w:pPr>
              <w:spacing w:line="280" w:lineRule="exact"/>
              <w:rPr>
                <w:rFonts w:ascii="方正仿宋_GBK" w:hAnsi="Times New Roman" w:eastAsia="方正仿宋_GBK"/>
                <w:color w:val="000000" w:themeColor="text1"/>
                <w:sz w:val="21"/>
                <w:szCs w:val="21"/>
                <w14:textFill>
                  <w14:solidFill>
                    <w14:schemeClr w14:val="tx1"/>
                  </w14:solidFill>
                </w14:textFill>
              </w:rPr>
            </w:pPr>
          </w:p>
        </w:tc>
        <w:tc>
          <w:tcPr>
            <w:tcW w:w="7009" w:type="dxa"/>
            <w:vAlign w:val="center"/>
          </w:tcPr>
          <w:p w14:paraId="58BFA3B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bCs/>
                <w:color w:val="000000" w:themeColor="text1"/>
                <w:sz w:val="21"/>
                <w:szCs w:val="21"/>
                <w14:textFill>
                  <w14:solidFill>
                    <w14:schemeClr w14:val="tx1"/>
                  </w14:solidFill>
                </w14:textFill>
              </w:rPr>
              <w:t>（2）机关处级干部按规定完成“江苏省在线学习中心”课程学习，得1分，少1人扣0.5分，扣完为止。</w:t>
            </w:r>
          </w:p>
        </w:tc>
        <w:tc>
          <w:tcPr>
            <w:tcW w:w="3402" w:type="dxa"/>
            <w:vAlign w:val="center"/>
          </w:tcPr>
          <w:p w14:paraId="4935689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人事处统一给分，不需提供台账</w:t>
            </w:r>
          </w:p>
        </w:tc>
        <w:tc>
          <w:tcPr>
            <w:tcW w:w="1701" w:type="dxa"/>
            <w:vAlign w:val="center"/>
          </w:tcPr>
          <w:p w14:paraId="2485F8BC">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机关各处室</w:t>
            </w:r>
          </w:p>
        </w:tc>
      </w:tr>
      <w:tr w14:paraId="17F6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861" w:type="dxa"/>
            <w:vMerge w:val="continue"/>
            <w:vAlign w:val="center"/>
          </w:tcPr>
          <w:p w14:paraId="7E300F45">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26E2BC25">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29.按时限要求填写机关公务员平时考核相关表格，对照岗位职责说明书，认真开展机关公务员平时考核工作。（2分）（人事处）</w:t>
            </w:r>
          </w:p>
        </w:tc>
        <w:tc>
          <w:tcPr>
            <w:tcW w:w="7009" w:type="dxa"/>
            <w:vAlign w:val="center"/>
          </w:tcPr>
          <w:p w14:paraId="5B881DF1">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每季度按规定时限报送《省体育局机关公务员工作情况登记表》《省体育局机关公务员平时考核评价表》《省体育局机关处室考勤登记簿》，均符合要求的，得0.5分，累计2分。如该季度报送超时限、填写不完整，扣0.5分。</w:t>
            </w:r>
          </w:p>
        </w:tc>
        <w:tc>
          <w:tcPr>
            <w:tcW w:w="3402" w:type="dxa"/>
            <w:vAlign w:val="center"/>
          </w:tcPr>
          <w:p w14:paraId="30B496E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人事处统一给分，不需提供台账</w:t>
            </w:r>
          </w:p>
        </w:tc>
        <w:tc>
          <w:tcPr>
            <w:tcW w:w="1701" w:type="dxa"/>
            <w:vAlign w:val="center"/>
          </w:tcPr>
          <w:p w14:paraId="13C2C9B7">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机关各处室</w:t>
            </w:r>
          </w:p>
        </w:tc>
      </w:tr>
      <w:tr w14:paraId="64CC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861" w:type="dxa"/>
            <w:vMerge w:val="restart"/>
            <w:vAlign w:val="center"/>
          </w:tcPr>
          <w:p w14:paraId="63BE28F6">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自身</w:t>
            </w:r>
          </w:p>
          <w:p w14:paraId="0BE8F80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建设</w:t>
            </w:r>
          </w:p>
          <w:p w14:paraId="30F28FBC">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16"/>
                <w:sz w:val="21"/>
                <w:szCs w:val="21"/>
                <w14:textFill>
                  <w14:solidFill>
                    <w14:schemeClr w14:val="tx1"/>
                  </w14:solidFill>
                </w14:textFill>
              </w:rPr>
              <w:t>（12分）</w:t>
            </w:r>
          </w:p>
        </w:tc>
        <w:tc>
          <w:tcPr>
            <w:tcW w:w="1843" w:type="dxa"/>
            <w:vAlign w:val="center"/>
          </w:tcPr>
          <w:p w14:paraId="468B7D1D">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30.认真贯彻落实安全生产责任制。（2分）（办公室）</w:t>
            </w:r>
          </w:p>
        </w:tc>
        <w:tc>
          <w:tcPr>
            <w:tcW w:w="7009" w:type="dxa"/>
            <w:vAlign w:val="center"/>
          </w:tcPr>
          <w:p w14:paraId="00B18AE0">
            <w:pPr>
              <w:spacing w:line="280" w:lineRule="exact"/>
              <w:rPr>
                <w:rFonts w:ascii="方正仿宋_GBK" w:hAnsi="Times New Roman" w:eastAsia="方正仿宋_GBK"/>
                <w:bCs/>
                <w:color w:val="000000" w:themeColor="text1"/>
                <w:sz w:val="21"/>
                <w:szCs w:val="21"/>
                <w:lang w:val="zh-TW" w:bidi="zh-TW"/>
                <w14:textFill>
                  <w14:solidFill>
                    <w14:schemeClr w14:val="tx1"/>
                  </w14:solidFill>
                </w14:textFill>
              </w:rPr>
            </w:pPr>
            <w:r>
              <w:rPr>
                <w:rFonts w:hint="eastAsia" w:ascii="方正仿宋_GBK" w:hAnsi="Times New Roman" w:eastAsia="方正仿宋_GBK"/>
                <w:bCs/>
                <w:color w:val="000000" w:themeColor="text1"/>
                <w:sz w:val="21"/>
                <w:szCs w:val="21"/>
                <w:lang w:val="zh-TW" w:bidi="zh-TW"/>
                <w14:textFill>
                  <w14:solidFill>
                    <w14:schemeClr w14:val="tx1"/>
                  </w14:solidFill>
                </w14:textFill>
              </w:rPr>
              <w:t>（1）安</w:t>
            </w:r>
            <w:r>
              <w:rPr>
                <w:rFonts w:hint="eastAsia" w:ascii="方正仿宋_GBK" w:hAnsi="Times New Roman" w:eastAsia="方正仿宋_GBK"/>
                <w:bCs/>
                <w:color w:val="000000" w:themeColor="text1"/>
                <w:sz w:val="21"/>
                <w:szCs w:val="21"/>
                <w:lang w:val="zh-TW" w:eastAsia="zh-TW" w:bidi="zh-TW"/>
                <w14:textFill>
                  <w14:solidFill>
                    <w14:schemeClr w14:val="tx1"/>
                  </w14:solidFill>
                </w14:textFill>
              </w:rPr>
              <w:t>全生</w:t>
            </w:r>
            <w:r>
              <w:rPr>
                <w:rFonts w:hint="eastAsia" w:ascii="方正仿宋_GBK" w:hAnsi="Times New Roman" w:eastAsia="方正仿宋_GBK"/>
                <w:bCs/>
                <w:color w:val="000000" w:themeColor="text1"/>
                <w:sz w:val="21"/>
                <w:szCs w:val="21"/>
                <w:lang w:val="zh-TW" w:bidi="zh-TW"/>
                <w14:textFill>
                  <w14:solidFill>
                    <w14:schemeClr w14:val="tx1"/>
                  </w14:solidFill>
                </w14:textFill>
              </w:rPr>
              <w:t>产工作列入本单位年度工作计划中，得0.5分，未制订计划扣0.5分；</w:t>
            </w:r>
          </w:p>
          <w:p w14:paraId="6D11F1B4">
            <w:pPr>
              <w:spacing w:line="280" w:lineRule="exact"/>
              <w:rPr>
                <w:rFonts w:ascii="方正仿宋_GBK" w:hAnsi="Times New Roman" w:eastAsia="方正仿宋_GBK"/>
                <w:bCs/>
                <w:color w:val="000000" w:themeColor="text1"/>
                <w:sz w:val="21"/>
                <w:szCs w:val="21"/>
                <w:lang w:val="zh-TW" w:bidi="zh-TW"/>
                <w14:textFill>
                  <w14:solidFill>
                    <w14:schemeClr w14:val="tx1"/>
                  </w14:solidFill>
                </w14:textFill>
              </w:rPr>
            </w:pPr>
            <w:r>
              <w:rPr>
                <w:rFonts w:hint="eastAsia" w:ascii="方正仿宋_GBK" w:hAnsi="Times New Roman" w:eastAsia="方正仿宋_GBK"/>
                <w:bCs/>
                <w:color w:val="000000" w:themeColor="text1"/>
                <w:sz w:val="21"/>
                <w:szCs w:val="21"/>
                <w:lang w:val="zh-TW" w:bidi="zh-TW"/>
                <w14:textFill>
                  <w14:solidFill>
                    <w14:schemeClr w14:val="tx1"/>
                  </w14:solidFill>
                </w14:textFill>
              </w:rPr>
              <w:t>（2）日常组织安全工作自查并整改问题，得0.5分，未完成扣0.5分；</w:t>
            </w:r>
          </w:p>
          <w:p w14:paraId="222560E3">
            <w:pPr>
              <w:spacing w:line="280" w:lineRule="exact"/>
              <w:rPr>
                <w:rFonts w:ascii="方正仿宋_GBK" w:hAnsi="Times New Roman" w:eastAsia="方正仿宋_GBK"/>
                <w:bCs/>
                <w:color w:val="000000" w:themeColor="text1"/>
                <w:sz w:val="21"/>
                <w:szCs w:val="21"/>
                <w:lang w:val="zh-TW" w:bidi="zh-TW"/>
                <w14:textFill>
                  <w14:solidFill>
                    <w14:schemeClr w14:val="tx1"/>
                  </w14:solidFill>
                </w14:textFill>
              </w:rPr>
            </w:pPr>
            <w:r>
              <w:rPr>
                <w:rFonts w:hint="eastAsia" w:ascii="方正仿宋_GBK" w:hAnsi="Times New Roman" w:eastAsia="方正仿宋_GBK"/>
                <w:bCs/>
                <w:color w:val="000000" w:themeColor="text1"/>
                <w:sz w:val="21"/>
                <w:szCs w:val="21"/>
                <w:lang w:val="zh-TW" w:bidi="zh-TW"/>
                <w14:textFill>
                  <w14:solidFill>
                    <w14:schemeClr w14:val="tx1"/>
                  </w14:solidFill>
                </w14:textFill>
              </w:rPr>
              <w:t>（3）专题研究安全工作或开展安全形势分析，得0.5分，未完成扣0.5分；</w:t>
            </w:r>
          </w:p>
          <w:p w14:paraId="06968875">
            <w:pPr>
              <w:spacing w:line="280" w:lineRule="exact"/>
              <w:rPr>
                <w:rFonts w:ascii="方正仿宋_GBK" w:hAnsi="Times New Roman" w:eastAsia="方正仿宋_GBK"/>
                <w:bCs/>
                <w:color w:val="000000" w:themeColor="text1"/>
                <w:sz w:val="21"/>
                <w:szCs w:val="21"/>
                <w:lang w:val="zh-TW" w:bidi="zh-TW"/>
                <w14:textFill>
                  <w14:solidFill>
                    <w14:schemeClr w14:val="tx1"/>
                  </w14:solidFill>
                </w14:textFill>
              </w:rPr>
            </w:pPr>
            <w:r>
              <w:rPr>
                <w:rFonts w:hint="eastAsia" w:ascii="方正仿宋_GBK" w:hAnsi="Times New Roman" w:eastAsia="方正仿宋_GBK"/>
                <w:bCs/>
                <w:color w:val="000000" w:themeColor="text1"/>
                <w:sz w:val="21"/>
                <w:szCs w:val="21"/>
                <w:lang w:val="zh-TW" w:bidi="zh-TW"/>
                <w14:textFill>
                  <w14:solidFill>
                    <w14:schemeClr w14:val="tx1"/>
                  </w14:solidFill>
                </w14:textFill>
              </w:rPr>
              <w:t>（4）全年发生安全生产事故并造成较大不良影响的，扣2分；</w:t>
            </w:r>
          </w:p>
          <w:p w14:paraId="072D617D">
            <w:pPr>
              <w:spacing w:line="280" w:lineRule="exact"/>
              <w:rPr>
                <w:rFonts w:ascii="方正仿宋_GBK" w:hAnsi="Times New Roman" w:eastAsia="方正仿宋_GBK"/>
                <w:b/>
                <w:color w:val="000000" w:themeColor="text1"/>
                <w:sz w:val="21"/>
                <w:szCs w:val="21"/>
                <w14:textFill>
                  <w14:solidFill>
                    <w14:schemeClr w14:val="tx1"/>
                  </w14:solidFill>
                </w14:textFill>
              </w:rPr>
            </w:pPr>
            <w:r>
              <w:rPr>
                <w:rFonts w:hint="eastAsia" w:ascii="方正仿宋_GBK" w:hAnsi="Times New Roman" w:eastAsia="方正仿宋_GBK"/>
                <w:bCs/>
                <w:color w:val="000000" w:themeColor="text1"/>
                <w:sz w:val="21"/>
                <w:szCs w:val="21"/>
                <w:lang w:val="zh-TW" w:bidi="zh-TW"/>
                <w14:textFill>
                  <w14:solidFill>
                    <w14:schemeClr w14:val="tx1"/>
                  </w14:solidFill>
                </w14:textFill>
              </w:rPr>
              <w:t>（5）不服从疫情防控属地管理，造成单位或社会影响的，扣2分。</w:t>
            </w:r>
          </w:p>
        </w:tc>
        <w:tc>
          <w:tcPr>
            <w:tcW w:w="3402" w:type="dxa"/>
            <w:vAlign w:val="center"/>
          </w:tcPr>
          <w:p w14:paraId="1B24DF77">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办公室统一给分，不需提供台账</w:t>
            </w:r>
          </w:p>
        </w:tc>
        <w:tc>
          <w:tcPr>
            <w:tcW w:w="1701" w:type="dxa"/>
            <w:vAlign w:val="center"/>
          </w:tcPr>
          <w:p w14:paraId="6925F60F">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7A4C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861" w:type="dxa"/>
            <w:vMerge w:val="continue"/>
            <w:vAlign w:val="center"/>
          </w:tcPr>
          <w:p w14:paraId="77EEB537">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3B834A0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31.信访、提案件等办理及时，答复认真，没有敷衍推诿现象。（2分）（办公室）</w:t>
            </w:r>
          </w:p>
        </w:tc>
        <w:tc>
          <w:tcPr>
            <w:tcW w:w="7009" w:type="dxa"/>
            <w:vAlign w:val="center"/>
          </w:tcPr>
          <w:p w14:paraId="7819D3B0">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对省阳光系统、12345平台、局长信箱等相关求助投诉能在2个工作日内按要求认真回复，以及对省人大代表、政协委员建议提案和来信来访件，能在规定时间内按照相关要求认真回复的，得2分。以上有一件回复不及时，或有一件因回复不认真导致答复不满意的扣0.5分，直到扣满2分为止。</w:t>
            </w:r>
          </w:p>
        </w:tc>
        <w:tc>
          <w:tcPr>
            <w:tcW w:w="3402" w:type="dxa"/>
            <w:vAlign w:val="center"/>
          </w:tcPr>
          <w:p w14:paraId="26638F26">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办公室统一给分，不需提供台账</w:t>
            </w:r>
          </w:p>
        </w:tc>
        <w:tc>
          <w:tcPr>
            <w:tcW w:w="1701" w:type="dxa"/>
            <w:vAlign w:val="center"/>
          </w:tcPr>
          <w:p w14:paraId="71E24861">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4E25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61" w:type="dxa"/>
            <w:vAlign w:val="center"/>
          </w:tcPr>
          <w:p w14:paraId="5EAE8A02">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加分</w:t>
            </w:r>
          </w:p>
          <w:p w14:paraId="2C008C1F">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专项</w:t>
            </w:r>
          </w:p>
          <w:p w14:paraId="3936AE2B">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pacing w:val="-8"/>
                <w:sz w:val="21"/>
                <w:szCs w:val="21"/>
                <w14:textFill>
                  <w14:solidFill>
                    <w14:schemeClr w14:val="tx1"/>
                  </w14:solidFill>
                </w14:textFill>
              </w:rPr>
              <w:t>（5分）</w:t>
            </w:r>
          </w:p>
        </w:tc>
        <w:tc>
          <w:tcPr>
            <w:tcW w:w="1843" w:type="dxa"/>
            <w:vAlign w:val="center"/>
          </w:tcPr>
          <w:p w14:paraId="020BF4F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32.特色创新项目。（办公室）</w:t>
            </w:r>
          </w:p>
        </w:tc>
        <w:tc>
          <w:tcPr>
            <w:tcW w:w="7009" w:type="dxa"/>
            <w:vAlign w:val="center"/>
          </w:tcPr>
          <w:p w14:paraId="6E0227CC">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所有被考核处室、单位年底前报送本单位、本处室2022年度工作中的创新亮点和特色，包括在全国、全省、行业范围内参加的先进经验交流、荣获省级以上表彰（或领导批示）以及其他证明领先创优成果的材料，由办公室汇总后提交局党组会讨论打分。</w:t>
            </w:r>
          </w:p>
        </w:tc>
        <w:tc>
          <w:tcPr>
            <w:tcW w:w="3402" w:type="dxa"/>
            <w:vAlign w:val="center"/>
          </w:tcPr>
          <w:p w14:paraId="21D78C59">
            <w:pPr>
              <w:spacing w:line="280" w:lineRule="exact"/>
              <w:rPr>
                <w:rFonts w:ascii="方正仿宋_GBK" w:hAnsi="Times New Roman" w:eastAsia="方正仿宋_GBK"/>
                <w:b/>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办公室统一给分</w:t>
            </w:r>
          </w:p>
          <w:p w14:paraId="1B40461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（特色创新项目申报材料统一报局办公室）</w:t>
            </w:r>
          </w:p>
        </w:tc>
        <w:tc>
          <w:tcPr>
            <w:tcW w:w="1701" w:type="dxa"/>
            <w:vAlign w:val="center"/>
          </w:tcPr>
          <w:p w14:paraId="75DC2806">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7D20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861" w:type="dxa"/>
            <w:vMerge w:val="restart"/>
            <w:vAlign w:val="center"/>
          </w:tcPr>
          <w:p w14:paraId="1401C6CA">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扣分</w:t>
            </w:r>
          </w:p>
          <w:p w14:paraId="424F7B48">
            <w:pPr>
              <w:spacing w:line="280" w:lineRule="exact"/>
              <w:jc w:val="center"/>
              <w:rPr>
                <w:rFonts w:ascii="方正黑体_GBK" w:hAnsi="Times New Roman" w:eastAsia="方正黑体_GBK"/>
                <w:b/>
                <w:bCs/>
                <w:color w:val="000000" w:themeColor="text1"/>
                <w:sz w:val="21"/>
                <w:szCs w:val="21"/>
                <w14:textFill>
                  <w14:solidFill>
                    <w14:schemeClr w14:val="tx1"/>
                  </w14:solidFill>
                </w14:textFill>
              </w:rPr>
            </w:pPr>
            <w:r>
              <w:rPr>
                <w:rFonts w:hint="eastAsia" w:ascii="方正黑体_GBK" w:hAnsi="Times New Roman" w:eastAsia="方正黑体_GBK"/>
                <w:color w:val="000000" w:themeColor="text1"/>
                <w:sz w:val="21"/>
                <w:szCs w:val="21"/>
                <w14:textFill>
                  <w14:solidFill>
                    <w14:schemeClr w14:val="tx1"/>
                  </w14:solidFill>
                </w14:textFill>
              </w:rPr>
              <w:t>专项</w:t>
            </w:r>
          </w:p>
        </w:tc>
        <w:tc>
          <w:tcPr>
            <w:tcW w:w="1843" w:type="dxa"/>
            <w:vAlign w:val="center"/>
          </w:tcPr>
          <w:p w14:paraId="51FF5CFE">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若有违纪违规问题、受到党纪政纪处分、赛风赛纪、兴奋剂违规等情况，适用本扣分原则。</w:t>
            </w:r>
          </w:p>
        </w:tc>
        <w:tc>
          <w:tcPr>
            <w:tcW w:w="7009" w:type="dxa"/>
            <w:vAlign w:val="center"/>
          </w:tcPr>
          <w:p w14:paraId="1E1E5458">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2022年度单位、处室所属人员受到党纪、政务问责处理的（以正式处理决定为准），按照相对应的“四种形态”进行扣分。原则上第二种形态每1例扣1分，第三种形态每1例扣2分，第四种形态每1例扣4分。一个单位、处室有多项违规的，累计计算。</w:t>
            </w:r>
          </w:p>
          <w:p w14:paraId="0D92B0FA">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注：考虑到情况的复杂性和不确定性，最终扣分由局党组会讨论审定。</w:t>
            </w:r>
          </w:p>
        </w:tc>
        <w:tc>
          <w:tcPr>
            <w:tcW w:w="3402" w:type="dxa"/>
            <w:vAlign w:val="center"/>
          </w:tcPr>
          <w:p w14:paraId="0322C9F2">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对于受党纪政务处分情况由机关纪委会同人事处列出建议方案，由局党组会讨论审定</w:t>
            </w:r>
          </w:p>
        </w:tc>
        <w:tc>
          <w:tcPr>
            <w:tcW w:w="1701" w:type="dxa"/>
            <w:vAlign w:val="center"/>
          </w:tcPr>
          <w:p w14:paraId="50423239">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r w14:paraId="5A3A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861" w:type="dxa"/>
            <w:vMerge w:val="continue"/>
            <w:vAlign w:val="center"/>
          </w:tcPr>
          <w:p w14:paraId="5AE50FC0">
            <w:pPr>
              <w:spacing w:line="280" w:lineRule="exact"/>
              <w:jc w:val="center"/>
              <w:rPr>
                <w:rFonts w:ascii="方正黑体_GBK" w:hAnsi="Times New Roman" w:eastAsia="方正黑体_GBK"/>
                <w:color w:val="000000" w:themeColor="text1"/>
                <w:sz w:val="21"/>
                <w:szCs w:val="21"/>
                <w14:textFill>
                  <w14:solidFill>
                    <w14:schemeClr w14:val="tx1"/>
                  </w14:solidFill>
                </w14:textFill>
              </w:rPr>
            </w:pPr>
          </w:p>
        </w:tc>
        <w:tc>
          <w:tcPr>
            <w:tcW w:w="1843" w:type="dxa"/>
            <w:vAlign w:val="center"/>
          </w:tcPr>
          <w:p w14:paraId="69AE42FF">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上级部门工作考核不合格等情况，适用本扣分原则。</w:t>
            </w:r>
          </w:p>
        </w:tc>
        <w:tc>
          <w:tcPr>
            <w:tcW w:w="7009" w:type="dxa"/>
            <w:vAlign w:val="center"/>
          </w:tcPr>
          <w:p w14:paraId="57F671F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在上级部门开展的各类考核评估（如高质量考核等）出现不合格、未达标及其他情况被通报批评，所涉及的职能处室或单位，按考核类别，由局党组会讨论审定扣分。</w:t>
            </w:r>
          </w:p>
        </w:tc>
        <w:tc>
          <w:tcPr>
            <w:tcW w:w="3402" w:type="dxa"/>
            <w:vAlign w:val="center"/>
          </w:tcPr>
          <w:p w14:paraId="305B1A9B">
            <w:pPr>
              <w:spacing w:line="280" w:lineRule="exact"/>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由局办公室列出建议方案，由局党组会讨论审定</w:t>
            </w:r>
          </w:p>
        </w:tc>
        <w:tc>
          <w:tcPr>
            <w:tcW w:w="1701" w:type="dxa"/>
            <w:vAlign w:val="center"/>
          </w:tcPr>
          <w:p w14:paraId="1DC78C9C">
            <w:pPr>
              <w:spacing w:line="280" w:lineRule="exact"/>
              <w:jc w:val="center"/>
              <w:rPr>
                <w:rFonts w:ascii="方正仿宋_GBK" w:hAnsi="Times New Roman" w:eastAsia="方正仿宋_GBK"/>
                <w:color w:val="000000" w:themeColor="text1"/>
                <w:sz w:val="21"/>
                <w:szCs w:val="21"/>
                <w14:textFill>
                  <w14:solidFill>
                    <w14:schemeClr w14:val="tx1"/>
                  </w14:solidFill>
                </w14:textFill>
              </w:rPr>
            </w:pPr>
            <w:r>
              <w:rPr>
                <w:rFonts w:hint="eastAsia" w:ascii="方正仿宋_GBK" w:hAnsi="Times New Roman" w:eastAsia="方正仿宋_GBK"/>
                <w:color w:val="000000" w:themeColor="text1"/>
                <w:sz w:val="21"/>
                <w:szCs w:val="21"/>
                <w14:textFill>
                  <w14:solidFill>
                    <w14:schemeClr w14:val="tx1"/>
                  </w14:solidFill>
                </w14:textFill>
              </w:rPr>
              <w:t>全体</w:t>
            </w:r>
          </w:p>
        </w:tc>
      </w:tr>
    </w:tbl>
    <w:p w14:paraId="06B3209F">
      <w:pPr>
        <w:widowControl/>
        <w:jc w:val="left"/>
        <w:rPr>
          <w:rFonts w:ascii="方正黑体_GBK" w:hAnsi="Times New Roman" w:eastAsia="方正黑体_GBK"/>
          <w:kern w:val="0"/>
          <w:szCs w:val="32"/>
        </w:rPr>
        <w:sectPr>
          <w:pgSz w:w="16838" w:h="11906" w:orient="landscape"/>
          <w:pgMar w:top="2041" w:right="1588" w:bottom="1985" w:left="1588" w:header="737" w:footer="1644" w:gutter="0"/>
          <w:cols w:space="425" w:num="1"/>
          <w:docGrid w:type="lines" w:linePitch="580" w:charSpace="-1683"/>
        </w:sectPr>
      </w:pPr>
    </w:p>
    <w:p w14:paraId="5716E353"/>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17C"/>
    <w:rsid w:val="00011515"/>
    <w:rsid w:val="00171DD9"/>
    <w:rsid w:val="0057092D"/>
    <w:rsid w:val="008F617C"/>
    <w:rsid w:val="00FF7D2A"/>
    <w:rsid w:val="55462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8992</Words>
  <Characters>9337</Characters>
  <Lines>69</Lines>
  <Paragraphs>19</Paragraphs>
  <TotalTime>1</TotalTime>
  <ScaleCrop>false</ScaleCrop>
  <LinksUpToDate>false</LinksUpToDate>
  <CharactersWithSpaces>9346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2022-12-05T01:23:00Z</dcterms:created>
  <dc:creator>Administrator</dc:creator>
  <cp:lastModifiedBy>王令尹</cp:lastModifiedBy>
  <dcterms:modified xsi:type="dcterms:W3CDTF">2026-07-22T07:14:56Z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eyJoZGlkIjoiZjAwZjk4ZDYwZGFlMGRhMzcxMTA4NTcwMzU0NjM5ZDAiLCJ1c2VySWQiOiIxNzk2NzMyMDAyIn0=</vt:lpwstr>
  </property>
  <property fmtid="{D5CDD505-2E9C-101B-9397-08002B2CF9AE}" pid="3" name="KSOProductBuildVer">
    <vt:lpwstr>2052-12.1.0.26895</vt:lpwstr>
  </property>
  <property fmtid="{D5CDD505-2E9C-101B-9397-08002B2CF9AE}" pid="4" name="ICV">
    <vt:lpwstr>3076F90C453048698BADC8718CB1A928_12</vt:lpwstr>
  </property>
</Properties>
</file>