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F18" w:rsidRDefault="00352F18" w:rsidP="00352F18">
      <w:pPr>
        <w:spacing w:line="500" w:lineRule="exact"/>
        <w:jc w:val="left"/>
        <w:rPr>
          <w:rFonts w:ascii="方正黑体_GBK" w:eastAsia="方正黑体_GBK" w:hAnsi="黑体"/>
          <w:szCs w:val="32"/>
        </w:rPr>
      </w:pPr>
      <w:r>
        <w:rPr>
          <w:rFonts w:ascii="方正黑体_GBK" w:eastAsia="方正黑体_GBK" w:hAnsi="黑体" w:hint="eastAsia"/>
          <w:szCs w:val="32"/>
        </w:rPr>
        <w:t>附件2</w:t>
      </w:r>
    </w:p>
    <w:p w:rsidR="00352F18" w:rsidRDefault="00352F18" w:rsidP="00352F18">
      <w:pPr>
        <w:spacing w:line="600" w:lineRule="exact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江苏省体育行政处罚裁量基准（试行）</w:t>
      </w:r>
    </w:p>
    <w:tbl>
      <w:tblPr>
        <w:tblStyle w:val="a5"/>
        <w:tblW w:w="14699" w:type="dxa"/>
        <w:jc w:val="center"/>
        <w:tblLook w:val="04A0" w:firstRow="1" w:lastRow="0" w:firstColumn="1" w:lastColumn="0" w:noHBand="0" w:noVBand="1"/>
      </w:tblPr>
      <w:tblGrid>
        <w:gridCol w:w="456"/>
        <w:gridCol w:w="2021"/>
        <w:gridCol w:w="5670"/>
        <w:gridCol w:w="701"/>
        <w:gridCol w:w="2361"/>
        <w:gridCol w:w="3490"/>
      </w:tblGrid>
      <w:tr w:rsidR="00352F18" w:rsidTr="00DD1464">
        <w:trPr>
          <w:tblHeader/>
          <w:jc w:val="center"/>
        </w:trPr>
        <w:tc>
          <w:tcPr>
            <w:tcW w:w="456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序号</w:t>
            </w:r>
          </w:p>
        </w:tc>
        <w:tc>
          <w:tcPr>
            <w:tcW w:w="2021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违法行为</w:t>
            </w:r>
          </w:p>
        </w:tc>
        <w:tc>
          <w:tcPr>
            <w:tcW w:w="5670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法定依据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裁量阶次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适用条件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jc w:val="center"/>
              <w:rPr>
                <w:rFonts w:ascii="方正黑体_GBK" w:eastAsia="方正黑体_GBK" w:hAnsi="华文仿宋"/>
                <w:sz w:val="24"/>
                <w:szCs w:val="24"/>
              </w:rPr>
            </w:pPr>
            <w:r>
              <w:rPr>
                <w:rFonts w:ascii="方正黑体_GBK" w:eastAsia="方正黑体_GBK" w:hAnsi="华文仿宋" w:hint="eastAsia"/>
                <w:sz w:val="24"/>
                <w:szCs w:val="24"/>
              </w:rPr>
              <w:t>具体标准</w:t>
            </w:r>
          </w:p>
        </w:tc>
      </w:tr>
      <w:tr w:rsidR="00352F18" w:rsidTr="00DD1464">
        <w:trPr>
          <w:trHeight w:val="1516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1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运动员、教练员、裁判员违反体育道德和体育赛事规则，弄虚作假、营私舞弊等行为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《体育法》第一百一十二条 运动员、教练员、裁判员违反本法规定，有违反体育道德和体育赛事规则，弄虚作假、营私舞弊等行为的，由体育组织按照有关规定给</w:t>
            </w:r>
            <w:proofErr w:type="gramStart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予处理</w:t>
            </w:r>
            <w:proofErr w:type="gramEnd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；情节严重、社会影响恶劣的，由县级以上人民政府体育行政部门纳入限制、禁止参加竞技体育活动名单；有违法所得的，没收违法所得，并处一万元以上十万元以下的罚款。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违法所得五万元以下，未造成恶劣社会影响。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有违法所得的，没收违法所得，并处一万元以上三万元以下的罚款。没有违法所得的不予处罚。</w:t>
            </w:r>
          </w:p>
        </w:tc>
      </w:tr>
      <w:tr w:rsidR="00352F18" w:rsidTr="00DD1464">
        <w:trPr>
          <w:trHeight w:val="116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违法所得五万元以上，未造成恶劣社会影响。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没收违法所得，并处三万元以上七万元以下的罚款。</w:t>
            </w:r>
          </w:p>
        </w:tc>
      </w:tr>
      <w:tr w:rsidR="00352F18" w:rsidTr="00DD1464">
        <w:trPr>
          <w:trHeight w:val="116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纳入限制、禁止参加竞技体育活动名单；有违法所得的没收违法所得，并处七万元以上十万元以下的罚款。</w:t>
            </w:r>
          </w:p>
        </w:tc>
      </w:tr>
      <w:tr w:rsidR="00352F18" w:rsidTr="00DD1464">
        <w:trPr>
          <w:trHeight w:val="2165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2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体育赛事活动组织者违反《体育法》行为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《体育法》第一百一十三条 体育赛事活动组织者有下列行为之一的，由县级以上地方人民政府体育行政部门责令改正，处五万元以上五十万元以下的罚款；有违法所得的，没收违法所得；情节严重的，给予一年以上三年以下禁止组织体育赛事活动的处罚：</w:t>
            </w:r>
          </w:p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(</w:t>
            </w:r>
            <w:proofErr w:type="gramStart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)未经许可举办高危险性体育赛事活动的；</w:t>
            </w:r>
          </w:p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(二)体育赛事活动因突发事件不具备办赛条件时，未及时中止的；</w:t>
            </w:r>
          </w:p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(三)安全条件不符合要求的；</w:t>
            </w:r>
          </w:p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(四)有违反体育道德和体育赛事规则，弄虚作假、营私舞弊等行为的；</w:t>
            </w:r>
          </w:p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(五)未按要求采取风险防范及应急处置预案等保障措施的。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违法所得十万元以下，未造成恶劣社会影响。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没收违法所得，处五万元以上二十万元以下的罚款。</w:t>
            </w:r>
          </w:p>
        </w:tc>
      </w:tr>
      <w:tr w:rsidR="00352F18" w:rsidTr="00DD1464">
        <w:trPr>
          <w:trHeight w:val="1782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违法所得十万元以上，未造成恶劣社会影响。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没收违法所得，处二十万元以上四十万元以下的罚款。</w:t>
            </w:r>
          </w:p>
        </w:tc>
      </w:tr>
      <w:tr w:rsidR="00352F18" w:rsidTr="00DD1464">
        <w:trPr>
          <w:trHeight w:val="216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造成恶劣社会影响。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没收违法所得，并处四十万元以上五十万元以下的罚款，禁止一年以上三年以下组织体育赛事活动。</w:t>
            </w:r>
          </w:p>
        </w:tc>
      </w:tr>
      <w:tr w:rsidR="00352F18" w:rsidTr="00DD1464">
        <w:trPr>
          <w:trHeight w:val="755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3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侵占、破坏公共体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育场地设施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《体育法》第一百一十四条 违反本法规定，侵占、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破坏公共体育场地设施的，由县级以上地方人民政府体育行政部门会同有关部门予以制止，责令改正，并可处实际损失五倍以下的罚款。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侵占公共体育场地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设施7天以下，或者破坏公共体育场地设施造成损失1万元以下。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处实际损失一倍以上两倍以下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的罚款。</w:t>
            </w:r>
          </w:p>
        </w:tc>
      </w:tr>
      <w:tr w:rsidR="00352F18" w:rsidTr="00DD1464">
        <w:trPr>
          <w:trHeight w:val="75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侵占公共体育场地设施7天以上15天以下，或者破坏公共体育场地设施造成损失1万元以上10万元以下。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处实际损失两倍以上四倍以下的罚款</w:t>
            </w:r>
          </w:p>
        </w:tc>
      </w:tr>
      <w:tr w:rsidR="00352F18" w:rsidTr="00DD1464">
        <w:trPr>
          <w:trHeight w:val="75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侵占公共体育场地设施15天以上，或者破坏公共体育场地设施造成损失10万元以上。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处实际损失四倍以上五倍以下的罚款</w:t>
            </w:r>
          </w:p>
        </w:tc>
      </w:tr>
      <w:tr w:rsidR="00352F18" w:rsidTr="00DD1464">
        <w:trPr>
          <w:trHeight w:val="664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4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未经批准临时占用公共体育场地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设施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《体育法》第一百一十五条 违反本法规定，未经批准临时占用公共体育场地设施的，由县级以上地方人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民政府体育行政部门会同有关部门责令限期改正；逾期未改正的，对公共体育场地设施管理单位处十万元以上五十万元以下的罚款；有违法所得的，没收违法所得。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期限内改正。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有违法所得的没收违法所得，没有违法所得的不予处罚。</w:t>
            </w:r>
          </w:p>
        </w:tc>
      </w:tr>
      <w:tr w:rsidR="00352F18" w:rsidTr="00DD1464">
        <w:trPr>
          <w:trHeight w:val="1000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逾期未改正，未对公共体育场地设施造成破坏。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没收违法所得，并处十万元以上三十万元以下的罚款。 </w:t>
            </w:r>
          </w:p>
        </w:tc>
      </w:tr>
      <w:tr w:rsidR="00352F18" w:rsidTr="00DD1464">
        <w:trPr>
          <w:trHeight w:val="1000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逾期未改正，对公共体育场地设施造成破坏。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没收违法所得，并处三十万元以上五十万元以下的罚款。</w:t>
            </w:r>
          </w:p>
        </w:tc>
      </w:tr>
      <w:tr w:rsidR="00352F18" w:rsidTr="00DD1464">
        <w:trPr>
          <w:trHeight w:val="660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5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未经许可经营高危险性体育项目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《体育法》第一百一十六条 未经许可经营高危险性体育项目的，由县级以上地方人民政府体育行政部门会同有关部门责令限期关闭；逾期未关闭的，处十万元以上五十万元以下的罚款；有违法所得的，没收违法所得。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期限内关闭。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有违法所得的没收违法所得，没有违法所得的不予处罚。</w:t>
            </w:r>
          </w:p>
        </w:tc>
      </w:tr>
      <w:tr w:rsidR="00352F18" w:rsidTr="00DD1464">
        <w:trPr>
          <w:trHeight w:val="83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b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逾期未关闭，符合经营高危险性体育项目许可条件。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没收违法所得，并处十万元以上三十万元以下的罚款。</w:t>
            </w:r>
          </w:p>
        </w:tc>
      </w:tr>
      <w:tr w:rsidR="00352F18" w:rsidTr="00DD1464">
        <w:trPr>
          <w:trHeight w:val="83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b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逾期未关闭，不符合经营高危险性体育项目许可条件。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 xml:space="preserve">没收违法所得，并处三十万元以上五十万元以下的罚款。 </w:t>
            </w:r>
          </w:p>
        </w:tc>
      </w:tr>
      <w:tr w:rsidR="00352F18" w:rsidTr="00DD1464">
        <w:trPr>
          <w:trHeight w:val="544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6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违法经营高危险性体育项目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《体育法》第一百一十六条 违法经营高危险性体育项目的，由县级以上地方人民政府体育行政部门责令改正；逾期未改正的，处五万元以上五十万元以下的罚款；有违法所得的，没收违法所得；造成严重后果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的，由主管部门责令关闭，吊销许可证照，五年内不得再从事该项目经营活动。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期限内改正，未造成严重后果。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有违法所得的没收违法所得。没有违法所得的不予处罚。</w:t>
            </w:r>
          </w:p>
        </w:tc>
      </w:tr>
      <w:tr w:rsidR="00352F18" w:rsidTr="00DD1464">
        <w:trPr>
          <w:trHeight w:val="72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逾期未改正，未造成严重后果。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没收违法所得，并处五万元以上三十万元以下的罚款。</w:t>
            </w:r>
          </w:p>
        </w:tc>
      </w:tr>
      <w:tr w:rsidR="00352F18" w:rsidTr="00DD1464">
        <w:trPr>
          <w:trHeight w:val="1000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造成严重后果。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没收违法所得，吊销许可证照，五年内不得再从事该项目经营活动。逾期未改正的，并处三十万元以上五十万元以下的罚款。</w:t>
            </w:r>
          </w:p>
        </w:tc>
      </w:tr>
      <w:tr w:rsidR="00352F18" w:rsidTr="00DD1464">
        <w:trPr>
          <w:trHeight w:val="716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7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高危险性体育项目经营者取得许可证后，不再符合规定条件仍经营该体育项目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全民健身条例》第三十七条“高危险性体育项目经营者取得许可证后，不再符合本条例规定条件仍经营该体育项目的，由县级以上地方人民政府体育主管部门按照管理权限责令改正；有违法所得的，没收违法所得；违法所得不足3万元或者没有违法所得的，并处3万元以上10万元以下的罚款；违法所得3万元以上的，并处违法所得2倍以上5倍以下的罚款；拒不改正的，由原发证机关吊销许可证”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及时纠正违法行为，违法所得不足3万元或者没有违法所得。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没收违法所得，并处3万元以上6万元以下的罚款。</w:t>
            </w:r>
          </w:p>
        </w:tc>
      </w:tr>
      <w:tr w:rsidR="00352F18" w:rsidTr="00DD1464">
        <w:trPr>
          <w:trHeight w:val="777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pacing w:val="-6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pacing w:val="-6"/>
                <w:sz w:val="24"/>
                <w:szCs w:val="24"/>
              </w:rPr>
              <w:t>及时纠正违法行为，违法所得3万元以上。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没收违法所得，并处违法所得2倍以上4倍以下的罚款</w:t>
            </w:r>
          </w:p>
        </w:tc>
      </w:tr>
      <w:tr w:rsidR="00352F18" w:rsidTr="00DD1464">
        <w:trPr>
          <w:trHeight w:val="544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拒不改正。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34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没收违法所得，吊销许可证。违法所得不足3万元或者没有违法所得的，并处6万以上10万元以下罚款，违法所得3万元以上的，并处违法所得4倍以上5倍以下的罚款。</w:t>
            </w:r>
          </w:p>
        </w:tc>
      </w:tr>
      <w:tr w:rsidR="00352F18" w:rsidTr="00DD1464">
        <w:trPr>
          <w:trHeight w:val="544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8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高危险性体育项目经营者拒绝、阻</w:t>
            </w:r>
            <w:proofErr w:type="gramStart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扰体育</w:t>
            </w:r>
            <w:proofErr w:type="gramEnd"/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执法人员依法履行监督检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查职责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《经营高危险性体育项目许可管理办法》第二十四条 “经营者对体育执法人员依法履行监督检查职责，应当予以配合，不得拒绝、阻挠”。第二十九条“违反本办法第二十四条规定，由县级以上地方人民政府体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育主管部门责令改正，处3万元以下的罚款”。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及时改正违法行为。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处1万元以下的罚款。</w:t>
            </w:r>
          </w:p>
        </w:tc>
      </w:tr>
      <w:tr w:rsidR="00352F18" w:rsidTr="00DD1464">
        <w:trPr>
          <w:trHeight w:val="83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对体育执法人员履行监督检查职责造成不利影响。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处1万元以上2万元以下的罚款。</w:t>
            </w:r>
          </w:p>
        </w:tc>
      </w:tr>
      <w:tr w:rsidR="00352F18" w:rsidTr="00DD1464">
        <w:trPr>
          <w:trHeight w:val="835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有言语辱骂、肢体攻击等暴力抗拒执法行为。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处2万元以上3万元以下的罚款。</w:t>
            </w:r>
          </w:p>
        </w:tc>
      </w:tr>
      <w:tr w:rsidR="00352F18" w:rsidTr="00DD1464">
        <w:trPr>
          <w:trHeight w:val="1109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体育彩票代销者违反规定销售彩票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《彩票管理条例》第四十一条“彩票代销者有下列行为之一的，由民政部门、体育行政部门责令改正，处2000元以上1万元以下罚款；有违法所得的，没收违法所得：（一）委托他人代销彩票或者转借、出租、出售彩票投注专用设备的；（二）进行虚假性、误导性宣传的；（三）以诋毁同业者等手段进行不正当竞争的；（四）向未成年人销售彩票的；（五）以赊销或者信用方式销售彩票的”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无违法所得或违法所得5000元以下。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没收违法所得，并处2000元以上5000元以下的罚款。</w:t>
            </w:r>
          </w:p>
        </w:tc>
      </w:tr>
      <w:tr w:rsidR="00352F18" w:rsidTr="00DD1464">
        <w:trPr>
          <w:trHeight w:val="1110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违法所得5000元以上10000元以下。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没收违法所得，并处5000元以上8000元以下的罚款。</w:t>
            </w:r>
          </w:p>
        </w:tc>
      </w:tr>
      <w:tr w:rsidR="00352F18" w:rsidTr="00DD1464">
        <w:trPr>
          <w:trHeight w:val="1562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违法所得10000元以上。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没收违法所得，并处8000元以上10000元以下的罚款。</w:t>
            </w:r>
          </w:p>
        </w:tc>
      </w:tr>
      <w:tr w:rsidR="00352F18" w:rsidTr="00DD1464">
        <w:trPr>
          <w:trHeight w:val="1674"/>
          <w:jc w:val="center"/>
        </w:trPr>
        <w:tc>
          <w:tcPr>
            <w:tcW w:w="456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10</w:t>
            </w:r>
          </w:p>
        </w:tc>
        <w:tc>
          <w:tcPr>
            <w:tcW w:w="2021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公共体育设施管理单位开展与公共体育设施功能、用途不相适应服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务活动</w:t>
            </w:r>
          </w:p>
        </w:tc>
        <w:tc>
          <w:tcPr>
            <w:tcW w:w="5670" w:type="dxa"/>
            <w:vMerge w:val="restart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《公共文化体育设施条例》第三十一条“公共文化体育设施管理单位，有下列行为之一的，由文化行政主管部门、体育行政主管部门依据各自职责责令限期改正，没收违法所得，违法所得5000元以上的，并处</w:t>
            </w: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违法所得２倍以上５倍以下的罚款；没有违法所得或者违法所得5000元以下的，可以处１万元以下的罚款”。</w:t>
            </w: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lastRenderedPageBreak/>
              <w:t>从轻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没有违法所得或者违法所得5000元以下，未对公共体育设施造成破坏。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有违法所得的没收违法所得，没有违法所得的不予处罚。</w:t>
            </w:r>
          </w:p>
        </w:tc>
      </w:tr>
      <w:tr w:rsidR="00352F18" w:rsidTr="00DD1464">
        <w:trPr>
          <w:trHeight w:val="1523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一般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没有违法所得或者违法所得5000元以下，对公共体育设施造成破坏；或者违法所得5000元以上，未对公共体育设施造成破坏。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没收违法所得。没有违法所得或者违法所得5000元以下的并处1万元以下罚款，违法所得5000元以上的并处违法所得２倍以上4倍以下的罚款。</w:t>
            </w:r>
          </w:p>
        </w:tc>
      </w:tr>
      <w:tr w:rsidR="00352F18" w:rsidTr="00DD1464">
        <w:trPr>
          <w:trHeight w:val="1116"/>
          <w:jc w:val="center"/>
        </w:trPr>
        <w:tc>
          <w:tcPr>
            <w:tcW w:w="456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2021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</w:p>
        </w:tc>
        <w:tc>
          <w:tcPr>
            <w:tcW w:w="70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从重</w:t>
            </w:r>
          </w:p>
        </w:tc>
        <w:tc>
          <w:tcPr>
            <w:tcW w:w="2361" w:type="dxa"/>
            <w:vAlign w:val="center"/>
          </w:tcPr>
          <w:p w:rsidR="00352F18" w:rsidRDefault="00352F18" w:rsidP="00DD1464">
            <w:pPr>
              <w:spacing w:line="4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违法所得5000元以上，对公共体育设施造成破坏。</w:t>
            </w:r>
          </w:p>
        </w:tc>
        <w:tc>
          <w:tcPr>
            <w:tcW w:w="3490" w:type="dxa"/>
            <w:vAlign w:val="center"/>
          </w:tcPr>
          <w:p w:rsidR="00352F18" w:rsidRDefault="00352F18" w:rsidP="00DD1464">
            <w:pPr>
              <w:spacing w:line="500" w:lineRule="exact"/>
              <w:rPr>
                <w:rFonts w:ascii="方正仿宋_GBK" w:eastAsia="方正仿宋_GBK" w:hAnsi="华文仿宋"/>
                <w:sz w:val="24"/>
                <w:szCs w:val="24"/>
              </w:rPr>
            </w:pPr>
            <w:r>
              <w:rPr>
                <w:rFonts w:ascii="方正仿宋_GBK" w:eastAsia="方正仿宋_GBK" w:hAnsi="华文仿宋" w:hint="eastAsia"/>
                <w:sz w:val="24"/>
                <w:szCs w:val="24"/>
              </w:rPr>
              <w:t>没收违法所得，并处违法所得4倍以上５倍以下罚款。</w:t>
            </w:r>
          </w:p>
        </w:tc>
      </w:tr>
    </w:tbl>
    <w:p w:rsidR="00352F18" w:rsidRDefault="00352F18" w:rsidP="00352F18">
      <w:pPr>
        <w:rPr>
          <w:rFonts w:ascii="方正黑体_GBK" w:eastAsia="方正黑体_GBK"/>
          <w:sz w:val="24"/>
          <w:szCs w:val="24"/>
        </w:rPr>
      </w:pPr>
      <w:r>
        <w:rPr>
          <w:rFonts w:ascii="方正黑体_GBK" w:eastAsia="方正黑体_GBK" w:hint="eastAsia"/>
          <w:sz w:val="24"/>
          <w:szCs w:val="24"/>
        </w:rPr>
        <w:t>备注：本基准适用条件和具体标准部分所称“以上”不含本数，“以下”含本数。</w:t>
      </w:r>
    </w:p>
    <w:p w:rsidR="00851A22" w:rsidRPr="00352F18" w:rsidRDefault="00851A22">
      <w:bookmarkStart w:id="0" w:name="_GoBack"/>
      <w:bookmarkEnd w:id="0"/>
    </w:p>
    <w:sectPr w:rsidR="00851A22" w:rsidRPr="00352F18" w:rsidSect="00352F1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E31" w:rsidRDefault="00B17E31" w:rsidP="00352F18">
      <w:r>
        <w:separator/>
      </w:r>
    </w:p>
  </w:endnote>
  <w:endnote w:type="continuationSeparator" w:id="0">
    <w:p w:rsidR="00B17E31" w:rsidRDefault="00B17E31" w:rsidP="00352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E31" w:rsidRDefault="00B17E31" w:rsidP="00352F18">
      <w:r>
        <w:separator/>
      </w:r>
    </w:p>
  </w:footnote>
  <w:footnote w:type="continuationSeparator" w:id="0">
    <w:p w:rsidR="00B17E31" w:rsidRDefault="00B17E31" w:rsidP="00352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6F4"/>
    <w:rsid w:val="00352F18"/>
    <w:rsid w:val="00851A22"/>
    <w:rsid w:val="00B17E31"/>
    <w:rsid w:val="00F0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1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F18"/>
    <w:rPr>
      <w:sz w:val="18"/>
      <w:szCs w:val="18"/>
    </w:rPr>
  </w:style>
  <w:style w:type="table" w:styleId="a5">
    <w:name w:val="Table Grid"/>
    <w:basedOn w:val="a1"/>
    <w:uiPriority w:val="59"/>
    <w:qFormat/>
    <w:rsid w:val="00352F1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18"/>
    <w:pPr>
      <w:widowControl w:val="0"/>
      <w:jc w:val="both"/>
    </w:pPr>
    <w:rPr>
      <w:rFonts w:ascii="Calibri" w:eastAsia="宋体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52F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52F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52F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52F18"/>
    <w:rPr>
      <w:sz w:val="18"/>
      <w:szCs w:val="18"/>
    </w:rPr>
  </w:style>
  <w:style w:type="table" w:styleId="a5">
    <w:name w:val="Table Grid"/>
    <w:basedOn w:val="a1"/>
    <w:uiPriority w:val="59"/>
    <w:qFormat/>
    <w:rsid w:val="00352F1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524</Words>
  <Characters>2992</Characters>
  <Application>Microsoft Office Word</Application>
  <DocSecurity>0</DocSecurity>
  <Lines>24</Lines>
  <Paragraphs>7</Paragraphs>
  <ScaleCrop>false</ScaleCrop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2022-11-21T08:08:00Z</dcterms:created>
  <dcterms:modified xsi:type="dcterms:W3CDTF">2022-11-21T08:09:00Z</dcterms:modified>
</cp:coreProperties>
</file>