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016A33">
      <w:pPr>
        <w:pStyle w:val="306"/>
        <w:spacing w:before="0" w:after="0"/>
        <w:ind w:firstLine="0"/>
        <w:rPr>
          <w:rFonts w:hint="default" w:ascii="Times New Roman" w:hAnsi="Times New Roman" w:cs="Times New Roman"/>
        </w:rPr>
      </w:pPr>
    </w:p>
    <w:p w14:paraId="29AF1DB2">
      <w:pPr>
        <w:pStyle w:val="306"/>
        <w:spacing w:before="0" w:after="0"/>
        <w:ind w:firstLine="0"/>
        <w:rPr>
          <w:rFonts w:hint="default" w:ascii="Times New Roman" w:hAnsi="Times New Roman" w:cs="Times New Roman"/>
        </w:rPr>
      </w:pPr>
    </w:p>
    <w:p w14:paraId="388962B4">
      <w:pPr>
        <w:pStyle w:val="306"/>
        <w:ind w:firstLine="0"/>
        <w:jc w:val="center"/>
        <w:rPr>
          <w:rFonts w:hint="default" w:ascii="Times New Roman" w:hAnsi="Times New Roman" w:eastAsia="黑体" w:cs="Times New Roman"/>
          <w:b/>
          <w:bCs/>
          <w:sz w:val="84"/>
        </w:rPr>
      </w:pPr>
    </w:p>
    <w:p w14:paraId="009F245D">
      <w:pPr>
        <w:pStyle w:val="306"/>
        <w:ind w:firstLine="0"/>
        <w:jc w:val="center"/>
        <w:rPr>
          <w:rFonts w:hint="default" w:ascii="Times New Roman" w:hAnsi="Times New Roman" w:eastAsia="黑体" w:cs="Times New Roman"/>
          <w:b/>
          <w:bCs/>
          <w:sz w:val="84"/>
        </w:rPr>
      </w:pPr>
      <w:r>
        <w:rPr>
          <w:rFonts w:hint="default" w:ascii="Times New Roman" w:hAnsi="Times New Roman" w:eastAsia="黑体" w:cs="Times New Roman"/>
          <w:b/>
          <w:bCs/>
          <w:sz w:val="84"/>
        </w:rPr>
        <w:t>招　标　文　件</w:t>
      </w:r>
    </w:p>
    <w:p w14:paraId="6916FD4C">
      <w:pPr>
        <w:pStyle w:val="306"/>
        <w:ind w:firstLine="0"/>
        <w:jc w:val="center"/>
        <w:rPr>
          <w:rFonts w:hint="default" w:ascii="Times New Roman" w:hAnsi="Times New Roman" w:cs="Times New Roman"/>
          <w:b/>
          <w:bCs/>
          <w:color w:val="000000"/>
          <w:sz w:val="32"/>
        </w:rPr>
      </w:pPr>
    </w:p>
    <w:p w14:paraId="1045AB7C">
      <w:pPr>
        <w:pStyle w:val="306"/>
        <w:ind w:firstLine="0"/>
        <w:jc w:val="center"/>
        <w:rPr>
          <w:rFonts w:hint="default" w:ascii="Times New Roman" w:hAnsi="Times New Roman" w:eastAsia="宋体" w:cs="Times New Roman"/>
          <w:b/>
          <w:bCs/>
          <w:sz w:val="32"/>
          <w:lang w:eastAsia="zh-CN"/>
        </w:rPr>
      </w:pPr>
      <w:r>
        <w:rPr>
          <w:rFonts w:hint="default" w:ascii="Times New Roman" w:hAnsi="Times New Roman" w:cs="Times New Roman"/>
          <w:b/>
          <w:bCs/>
          <w:color w:val="000000"/>
          <w:sz w:val="32"/>
        </w:rPr>
        <w:t>项目名称：</w:t>
      </w:r>
      <w:r>
        <w:rPr>
          <w:rFonts w:hint="default" w:ascii="Times New Roman" w:hAnsi="Times New Roman" w:cs="Times New Roman"/>
          <w:b/>
          <w:bCs/>
          <w:color w:val="000000"/>
          <w:sz w:val="32"/>
          <w:lang w:eastAsia="zh-CN"/>
        </w:rPr>
        <w:t>2025年射箭复合弓装备采购（第二次）</w:t>
      </w:r>
    </w:p>
    <w:p w14:paraId="261D0949">
      <w:pPr>
        <w:pStyle w:val="306"/>
        <w:ind w:firstLine="0"/>
        <w:jc w:val="center"/>
        <w:rPr>
          <w:rFonts w:hint="default" w:ascii="Times New Roman" w:hAnsi="Times New Roman" w:cs="Times New Roman"/>
          <w:b/>
          <w:bCs/>
          <w:sz w:val="32"/>
        </w:rPr>
      </w:pPr>
    </w:p>
    <w:p w14:paraId="2584A52F">
      <w:pPr>
        <w:pStyle w:val="306"/>
        <w:ind w:firstLine="0"/>
        <w:jc w:val="center"/>
        <w:rPr>
          <w:rFonts w:hint="default" w:ascii="Times New Roman" w:hAnsi="Times New Roman" w:eastAsia="宋体" w:cs="Times New Roman"/>
          <w:b/>
          <w:bCs/>
          <w:sz w:val="32"/>
          <w:szCs w:val="32"/>
          <w:lang w:val="en-US" w:eastAsia="zh-CN"/>
        </w:rPr>
      </w:pPr>
      <w:r>
        <w:rPr>
          <w:rFonts w:hint="default" w:ascii="Times New Roman" w:hAnsi="Times New Roman" w:cs="Times New Roman"/>
          <w:b/>
          <w:bCs/>
          <w:sz w:val="32"/>
        </w:rPr>
        <w:t>招标编号：</w:t>
      </w:r>
      <w:r>
        <w:rPr>
          <w:rFonts w:hint="eastAsia" w:ascii="Times New Roman" w:hAnsi="Times New Roman" w:cs="Times New Roman"/>
          <w:b/>
          <w:bCs/>
          <w:sz w:val="32"/>
          <w:lang w:val="en-US" w:eastAsia="zh-CN"/>
        </w:rPr>
        <w:t>STZ-ZBGK25057</w:t>
      </w:r>
    </w:p>
    <w:p w14:paraId="4312A510">
      <w:pPr>
        <w:pStyle w:val="306"/>
        <w:spacing w:before="0" w:after="0"/>
        <w:ind w:firstLine="0"/>
        <w:rPr>
          <w:rFonts w:hint="default" w:ascii="Times New Roman" w:hAnsi="Times New Roman" w:cs="Times New Roman"/>
        </w:rPr>
      </w:pPr>
    </w:p>
    <w:p w14:paraId="57E8DFA9">
      <w:pPr>
        <w:pStyle w:val="306"/>
        <w:spacing w:before="0" w:after="0"/>
        <w:ind w:firstLine="0"/>
        <w:rPr>
          <w:rFonts w:hint="default" w:ascii="Times New Roman" w:hAnsi="Times New Roman" w:cs="Times New Roman"/>
        </w:rPr>
      </w:pPr>
    </w:p>
    <w:p w14:paraId="73873C06">
      <w:pPr>
        <w:pStyle w:val="306"/>
        <w:spacing w:before="0" w:after="0"/>
        <w:ind w:firstLine="0"/>
        <w:rPr>
          <w:rFonts w:hint="default" w:ascii="Times New Roman" w:hAnsi="Times New Roman" w:cs="Times New Roman"/>
        </w:rPr>
      </w:pPr>
    </w:p>
    <w:p w14:paraId="6AAE6FF2">
      <w:pPr>
        <w:pStyle w:val="306"/>
        <w:spacing w:before="0" w:after="0"/>
        <w:ind w:firstLine="0"/>
        <w:rPr>
          <w:rFonts w:hint="default" w:ascii="Times New Roman" w:hAnsi="Times New Roman" w:cs="Times New Roman"/>
        </w:rPr>
      </w:pPr>
    </w:p>
    <w:p w14:paraId="7FB386F0">
      <w:pPr>
        <w:pStyle w:val="306"/>
        <w:spacing w:before="0" w:after="0"/>
        <w:ind w:firstLine="0"/>
        <w:rPr>
          <w:rFonts w:hint="default" w:ascii="Times New Roman" w:hAnsi="Times New Roman" w:cs="Times New Roman"/>
        </w:rPr>
      </w:pPr>
    </w:p>
    <w:p w14:paraId="140B8BDB">
      <w:pPr>
        <w:pStyle w:val="306"/>
        <w:spacing w:before="0" w:after="0"/>
        <w:ind w:firstLine="0"/>
        <w:rPr>
          <w:rFonts w:hint="default" w:ascii="Times New Roman" w:hAnsi="Times New Roman" w:cs="Times New Roman"/>
        </w:rPr>
      </w:pPr>
    </w:p>
    <w:p w14:paraId="434F9B49">
      <w:pPr>
        <w:pStyle w:val="306"/>
        <w:spacing w:before="0" w:after="0"/>
        <w:ind w:firstLine="0"/>
        <w:rPr>
          <w:rFonts w:hint="default" w:ascii="Times New Roman" w:hAnsi="Times New Roman" w:cs="Times New Roman"/>
        </w:rPr>
      </w:pPr>
    </w:p>
    <w:p w14:paraId="486DD163">
      <w:pPr>
        <w:pStyle w:val="306"/>
        <w:spacing w:before="0" w:after="0"/>
        <w:ind w:firstLine="0"/>
        <w:rPr>
          <w:rFonts w:hint="default" w:ascii="Times New Roman" w:hAnsi="Times New Roman" w:cs="Times New Roman"/>
        </w:rPr>
      </w:pPr>
    </w:p>
    <w:p w14:paraId="4D47F8FC">
      <w:pPr>
        <w:pStyle w:val="306"/>
        <w:spacing w:before="0" w:after="0"/>
        <w:ind w:firstLine="0"/>
        <w:rPr>
          <w:rFonts w:hint="default" w:ascii="Times New Roman" w:hAnsi="Times New Roman" w:cs="Times New Roman"/>
        </w:rPr>
      </w:pPr>
    </w:p>
    <w:p w14:paraId="375F88C4">
      <w:pPr>
        <w:pStyle w:val="306"/>
        <w:spacing w:before="0" w:after="0"/>
        <w:ind w:firstLine="0"/>
        <w:rPr>
          <w:rFonts w:hint="default" w:ascii="Times New Roman" w:hAnsi="Times New Roman" w:cs="Times New Roman"/>
        </w:rPr>
      </w:pPr>
    </w:p>
    <w:p w14:paraId="324AC333">
      <w:pPr>
        <w:pStyle w:val="306"/>
        <w:spacing w:before="0" w:after="0"/>
        <w:ind w:firstLine="0"/>
        <w:rPr>
          <w:rFonts w:hint="default" w:ascii="Times New Roman" w:hAnsi="Times New Roman" w:cs="Times New Roman"/>
        </w:rPr>
      </w:pPr>
    </w:p>
    <w:p w14:paraId="7D599EA8">
      <w:pPr>
        <w:pStyle w:val="306"/>
        <w:ind w:firstLine="0"/>
        <w:jc w:val="center"/>
        <w:rPr>
          <w:rFonts w:hint="default" w:ascii="Times New Roman" w:hAnsi="Times New Roman" w:cs="Times New Roman"/>
          <w:b/>
          <w:bCs/>
          <w:sz w:val="32"/>
        </w:rPr>
      </w:pPr>
      <w:r>
        <w:rPr>
          <w:rFonts w:hint="default" w:ascii="Times New Roman" w:hAnsi="Times New Roman" w:cs="Times New Roman"/>
          <w:b/>
          <w:bCs/>
          <w:sz w:val="32"/>
        </w:rPr>
        <w:t>江苏省体育装备中心</w:t>
      </w:r>
    </w:p>
    <w:p w14:paraId="1B9F2F28">
      <w:pPr>
        <w:pStyle w:val="306"/>
        <w:ind w:firstLine="0"/>
        <w:jc w:val="center"/>
        <w:rPr>
          <w:rFonts w:hint="default" w:ascii="Times New Roman" w:hAnsi="Times New Roman" w:cs="Times New Roman"/>
          <w:b/>
          <w:bCs/>
          <w:sz w:val="32"/>
        </w:rPr>
      </w:pPr>
      <w:r>
        <w:rPr>
          <w:rFonts w:hint="default" w:ascii="Times New Roman" w:hAnsi="Times New Roman" w:cs="Times New Roman"/>
          <w:b/>
          <w:bCs/>
          <w:sz w:val="32"/>
        </w:rPr>
        <w:t>二〇二五年</w:t>
      </w:r>
      <w:r>
        <w:rPr>
          <w:rFonts w:hint="default" w:ascii="Times New Roman" w:hAnsi="Times New Roman" w:cs="Times New Roman"/>
          <w:b/>
          <w:bCs/>
          <w:sz w:val="32"/>
          <w:lang w:val="en-US" w:eastAsia="zh-CN"/>
        </w:rPr>
        <w:t>十</w:t>
      </w:r>
      <w:r>
        <w:rPr>
          <w:rFonts w:hint="eastAsia" w:ascii="Times New Roman" w:hAnsi="Times New Roman" w:cs="Times New Roman"/>
          <w:b/>
          <w:bCs/>
          <w:sz w:val="32"/>
          <w:lang w:val="en-US" w:eastAsia="zh-CN"/>
        </w:rPr>
        <w:t>二</w:t>
      </w:r>
      <w:r>
        <w:rPr>
          <w:rFonts w:hint="default" w:ascii="Times New Roman" w:hAnsi="Times New Roman" w:cs="Times New Roman"/>
          <w:b/>
          <w:bCs/>
          <w:sz w:val="32"/>
        </w:rPr>
        <w:t>月</w:t>
      </w:r>
      <w:r>
        <w:rPr>
          <w:rFonts w:hint="default" w:ascii="Times New Roman" w:hAnsi="Times New Roman" w:cs="Times New Roman"/>
        </w:rPr>
        <w:br w:type="page" w:clear="all"/>
      </w:r>
      <w:bookmarkStart w:id="0" w:name="_Toc481072514"/>
      <w:bookmarkStart w:id="1" w:name="_Toc481073014"/>
      <w:bookmarkStart w:id="2" w:name="_Toc481072416"/>
      <w:bookmarkStart w:id="3" w:name="_Toc483326168"/>
      <w:bookmarkStart w:id="4" w:name="_Toc481072009"/>
      <w:bookmarkStart w:id="5" w:name="_Toc481071963"/>
      <w:bookmarkStart w:id="6" w:name="_Toc475009293"/>
      <w:bookmarkStart w:id="7" w:name="_Toc120614210"/>
      <w:bookmarkStart w:id="8" w:name="_Toc16938516"/>
      <w:bookmarkStart w:id="9" w:name="_Toc479757206"/>
      <w:bookmarkStart w:id="10" w:name="_Toc20823272"/>
      <w:bookmarkStart w:id="11" w:name="_Toc523127445"/>
      <w:bookmarkStart w:id="12" w:name="_Toc513029200"/>
      <w:r>
        <w:rPr>
          <w:rFonts w:hint="default" w:ascii="Times New Roman" w:hAnsi="Times New Roman" w:cs="Times New Roman"/>
          <w:b/>
          <w:bCs/>
          <w:sz w:val="32"/>
          <w:szCs w:val="32"/>
        </w:rPr>
        <w:t>总  目  录</w:t>
      </w:r>
      <w:bookmarkEnd w:id="0"/>
      <w:bookmarkEnd w:id="1"/>
      <w:bookmarkEnd w:id="2"/>
      <w:bookmarkEnd w:id="3"/>
      <w:bookmarkEnd w:id="4"/>
      <w:bookmarkEnd w:id="5"/>
      <w:bookmarkEnd w:id="6"/>
      <w:r>
        <w:rPr>
          <w:rFonts w:hint="default" w:ascii="Times New Roman" w:hAnsi="Times New Roman" w:cs="Times New Roman"/>
          <w:b/>
          <w:bCs/>
          <w:sz w:val="32"/>
          <w:szCs w:val="32"/>
        </w:rPr>
        <w:t xml:space="preserve">           </w:t>
      </w:r>
    </w:p>
    <w:p w14:paraId="783F5B28">
      <w:pPr>
        <w:pStyle w:val="187"/>
        <w:spacing w:line="560" w:lineRule="exact"/>
        <w:rPr>
          <w:rFonts w:hint="default" w:ascii="Times New Roman" w:hAnsi="Times New Roman" w:eastAsia="黑体" w:cs="Times New Roman"/>
          <w:bCs/>
          <w:sz w:val="44"/>
        </w:rPr>
      </w:pPr>
      <w:bookmarkStart w:id="13" w:name="_Toc481072010"/>
      <w:bookmarkStart w:id="14" w:name="_Toc475009294"/>
      <w:bookmarkStart w:id="15" w:name="_Toc481071964"/>
    </w:p>
    <w:p w14:paraId="6CE5DE53">
      <w:pPr>
        <w:pStyle w:val="233"/>
        <w:tabs>
          <w:tab w:val="right" w:leader="dot" w:pos="8943"/>
        </w:tabs>
        <w:rPr>
          <w:rFonts w:hint="default" w:ascii="Times New Roman" w:hAnsi="Times New Roman" w:cs="Times New Roman"/>
          <w:b w:val="0"/>
          <w:bCs w:val="0"/>
          <w:caps w:val="0"/>
          <w:sz w:val="28"/>
          <w:szCs w:val="22"/>
        </w:rPr>
      </w:pPr>
      <w:r>
        <w:rPr>
          <w:rFonts w:hint="default" w:ascii="Times New Roman" w:hAnsi="Times New Roman" w:cs="Times New Roman"/>
          <w:sz w:val="72"/>
        </w:rPr>
        <w:fldChar w:fldCharType="begin"/>
      </w:r>
      <w:r>
        <w:rPr>
          <w:rFonts w:hint="default" w:ascii="Times New Roman" w:hAnsi="Times New Roman" w:cs="Times New Roman"/>
          <w:sz w:val="72"/>
        </w:rPr>
        <w:instrText xml:space="preserve"> TOC \o "1-1" \h \z \u </w:instrText>
      </w:r>
      <w:r>
        <w:rPr>
          <w:rFonts w:hint="default" w:ascii="Times New Roman" w:hAnsi="Times New Roman" w:cs="Times New Roman"/>
          <w:sz w:val="72"/>
        </w:rPr>
        <w:fldChar w:fldCharType="separate"/>
      </w: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"_Toc121905575"</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第一章  招标邀请</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_Toc121905575 \h </w:instrText>
      </w:r>
      <w:r>
        <w:rPr>
          <w:rFonts w:hint="default" w:ascii="Times New Roman" w:hAnsi="Times New Roman" w:cs="Times New Roman"/>
          <w:sz w:val="24"/>
        </w:rPr>
        <w:fldChar w:fldCharType="separate"/>
      </w:r>
      <w:r>
        <w:rPr>
          <w:rFonts w:hint="default" w:ascii="Times New Roman" w:hAnsi="Times New Roman" w:cs="Times New Roman"/>
          <w:sz w:val="24"/>
        </w:rPr>
        <w:t>1</w:t>
      </w:r>
      <w:r>
        <w:rPr>
          <w:rFonts w:hint="default" w:ascii="Times New Roman" w:hAnsi="Times New Roman" w:cs="Times New Roman"/>
          <w:sz w:val="24"/>
        </w:rPr>
        <w:fldChar w:fldCharType="end"/>
      </w:r>
      <w:r>
        <w:rPr>
          <w:rStyle w:val="252"/>
          <w:rFonts w:hint="default" w:ascii="Times New Roman" w:hAnsi="Times New Roman" w:cs="Times New Roman"/>
          <w:sz w:val="24"/>
        </w:rPr>
        <w:fldChar w:fldCharType="end"/>
      </w:r>
    </w:p>
    <w:p w14:paraId="488641E2">
      <w:pPr>
        <w:pStyle w:val="233"/>
        <w:tabs>
          <w:tab w:val="right" w:leader="dot" w:pos="8943"/>
        </w:tabs>
        <w:rPr>
          <w:rFonts w:hint="default" w:ascii="Times New Roman" w:hAnsi="Times New Roman" w:cs="Times New Roman"/>
          <w:b w:val="0"/>
          <w:bCs w:val="0"/>
          <w:caps w:val="0"/>
          <w:sz w:val="28"/>
          <w:szCs w:val="22"/>
        </w:rPr>
      </w:pP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"_Toc121905576"</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第二章  供应商须知</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_Toc121905576 \h </w:instrText>
      </w:r>
      <w:r>
        <w:rPr>
          <w:rFonts w:hint="default" w:ascii="Times New Roman" w:hAnsi="Times New Roman" w:cs="Times New Roman"/>
          <w:sz w:val="24"/>
        </w:rPr>
        <w:fldChar w:fldCharType="separate"/>
      </w:r>
      <w:r>
        <w:rPr>
          <w:rFonts w:hint="default" w:ascii="Times New Roman" w:hAnsi="Times New Roman" w:cs="Times New Roman"/>
          <w:sz w:val="24"/>
        </w:rPr>
        <w:t>4</w:t>
      </w:r>
      <w:r>
        <w:rPr>
          <w:rFonts w:hint="default" w:ascii="Times New Roman" w:hAnsi="Times New Roman" w:cs="Times New Roman"/>
          <w:sz w:val="24"/>
        </w:rPr>
        <w:fldChar w:fldCharType="end"/>
      </w:r>
      <w:r>
        <w:rPr>
          <w:rStyle w:val="252"/>
          <w:rFonts w:hint="default" w:ascii="Times New Roman" w:hAnsi="Times New Roman" w:cs="Times New Roman"/>
          <w:sz w:val="24"/>
        </w:rPr>
        <w:fldChar w:fldCharType="end"/>
      </w:r>
    </w:p>
    <w:p w14:paraId="3D25E9D3">
      <w:pPr>
        <w:pStyle w:val="233"/>
        <w:tabs>
          <w:tab w:val="left" w:pos="840"/>
          <w:tab w:val="right" w:leader="dot" w:pos="8943"/>
        </w:tabs>
        <w:rPr>
          <w:rFonts w:hint="default" w:ascii="Times New Roman" w:hAnsi="Times New Roman" w:cs="Times New Roman"/>
          <w:b w:val="0"/>
          <w:bCs w:val="0"/>
          <w:caps w:val="0"/>
          <w:sz w:val="28"/>
          <w:szCs w:val="22"/>
        </w:rPr>
      </w:pP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"_Toc121905577"</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第三章</w:t>
      </w:r>
      <w:r>
        <w:rPr>
          <w:rFonts w:hint="default" w:ascii="Times New Roman" w:hAnsi="Times New Roman" w:cs="Times New Roman"/>
          <w:b w:val="0"/>
          <w:bCs w:val="0"/>
          <w:caps w:val="0"/>
          <w:sz w:val="28"/>
          <w:szCs w:val="22"/>
        </w:rPr>
        <w:tab/>
      </w:r>
      <w:r>
        <w:rPr>
          <w:rStyle w:val="252"/>
          <w:rFonts w:hint="default" w:ascii="Times New Roman" w:hAnsi="Times New Roman" w:eastAsia="黑体" w:cs="Times New Roman"/>
          <w:sz w:val="24"/>
        </w:rPr>
        <w:t>合同条款及格式</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_Toc121905577 \h </w:instrText>
      </w:r>
      <w:r>
        <w:rPr>
          <w:rFonts w:hint="default" w:ascii="Times New Roman" w:hAnsi="Times New Roman" w:cs="Times New Roman"/>
          <w:sz w:val="24"/>
        </w:rPr>
        <w:fldChar w:fldCharType="separate"/>
      </w:r>
      <w:r>
        <w:rPr>
          <w:rFonts w:hint="default" w:ascii="Times New Roman" w:hAnsi="Times New Roman" w:cs="Times New Roman"/>
          <w:sz w:val="24"/>
        </w:rPr>
        <w:t>19</w:t>
      </w:r>
      <w:r>
        <w:rPr>
          <w:rFonts w:hint="default" w:ascii="Times New Roman" w:hAnsi="Times New Roman" w:cs="Times New Roman"/>
          <w:sz w:val="24"/>
        </w:rPr>
        <w:fldChar w:fldCharType="end"/>
      </w:r>
      <w:r>
        <w:rPr>
          <w:rStyle w:val="252"/>
          <w:rFonts w:hint="default" w:ascii="Times New Roman" w:hAnsi="Times New Roman" w:cs="Times New Roman"/>
          <w:sz w:val="24"/>
        </w:rPr>
        <w:fldChar w:fldCharType="end"/>
      </w:r>
    </w:p>
    <w:p w14:paraId="6D6BA9DA">
      <w:pPr>
        <w:pStyle w:val="233"/>
        <w:tabs>
          <w:tab w:val="left" w:pos="840"/>
          <w:tab w:val="right" w:leader="dot" w:pos="8943"/>
        </w:tabs>
        <w:rPr>
          <w:rFonts w:hint="default" w:ascii="Times New Roman" w:hAnsi="Times New Roman" w:cs="Times New Roman"/>
          <w:b w:val="0"/>
          <w:bCs w:val="0"/>
          <w:caps w:val="0"/>
          <w:sz w:val="28"/>
          <w:szCs w:val="22"/>
        </w:rPr>
      </w:pP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"_Toc121905578"</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第四章</w:t>
      </w:r>
      <w:r>
        <w:rPr>
          <w:rFonts w:hint="default" w:ascii="Times New Roman" w:hAnsi="Times New Roman" w:cs="Times New Roman"/>
          <w:b w:val="0"/>
          <w:bCs w:val="0"/>
          <w:caps w:val="0"/>
          <w:sz w:val="28"/>
          <w:szCs w:val="22"/>
        </w:rPr>
        <w:tab/>
      </w:r>
      <w:r>
        <w:rPr>
          <w:rStyle w:val="252"/>
          <w:rFonts w:hint="default" w:ascii="Times New Roman" w:hAnsi="Times New Roman" w:eastAsia="黑体" w:cs="Times New Roman"/>
          <w:sz w:val="24"/>
        </w:rPr>
        <w:t>项目需求</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_Toc121905578 \h </w:instrText>
      </w:r>
      <w:r>
        <w:rPr>
          <w:rFonts w:hint="default" w:ascii="Times New Roman" w:hAnsi="Times New Roman" w:cs="Times New Roman"/>
          <w:sz w:val="24"/>
        </w:rPr>
        <w:fldChar w:fldCharType="separate"/>
      </w:r>
      <w:r>
        <w:rPr>
          <w:rFonts w:hint="default" w:ascii="Times New Roman" w:hAnsi="Times New Roman" w:cs="Times New Roman"/>
          <w:sz w:val="24"/>
        </w:rPr>
        <w:t>27</w:t>
      </w:r>
      <w:r>
        <w:rPr>
          <w:rFonts w:hint="default" w:ascii="Times New Roman" w:hAnsi="Times New Roman" w:cs="Times New Roman"/>
          <w:sz w:val="24"/>
        </w:rPr>
        <w:fldChar w:fldCharType="end"/>
      </w:r>
      <w:r>
        <w:rPr>
          <w:rStyle w:val="252"/>
          <w:rFonts w:hint="default" w:ascii="Times New Roman" w:hAnsi="Times New Roman" w:cs="Times New Roman"/>
          <w:sz w:val="24"/>
        </w:rPr>
        <w:fldChar w:fldCharType="end"/>
      </w:r>
    </w:p>
    <w:p w14:paraId="2B15289D">
      <w:pPr>
        <w:pStyle w:val="233"/>
        <w:tabs>
          <w:tab w:val="left" w:pos="840"/>
          <w:tab w:val="right" w:leader="dot" w:pos="8943"/>
        </w:tabs>
        <w:rPr>
          <w:rFonts w:hint="default" w:ascii="Times New Roman" w:hAnsi="Times New Roman" w:cs="Times New Roman"/>
          <w:b w:val="0"/>
          <w:bCs w:val="0"/>
          <w:caps w:val="0"/>
          <w:sz w:val="28"/>
          <w:szCs w:val="22"/>
        </w:rPr>
      </w:pP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"_Toc121905579"</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第五章</w:t>
      </w:r>
      <w:r>
        <w:rPr>
          <w:rFonts w:hint="default" w:ascii="Times New Roman" w:hAnsi="Times New Roman" w:cs="Times New Roman"/>
          <w:b w:val="0"/>
          <w:bCs w:val="0"/>
          <w:caps w:val="0"/>
          <w:sz w:val="28"/>
          <w:szCs w:val="22"/>
        </w:rPr>
        <w:tab/>
      </w:r>
      <w:r>
        <w:rPr>
          <w:rStyle w:val="252"/>
          <w:rFonts w:hint="default" w:ascii="Times New Roman" w:hAnsi="Times New Roman" w:eastAsia="黑体" w:cs="Times New Roman"/>
          <w:sz w:val="24"/>
        </w:rPr>
        <w:t>评标办法和评标标准</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_Toc121905579 \h </w:instrText>
      </w:r>
      <w:r>
        <w:rPr>
          <w:rFonts w:hint="default" w:ascii="Times New Roman" w:hAnsi="Times New Roman" w:cs="Times New Roman"/>
          <w:sz w:val="24"/>
        </w:rPr>
        <w:fldChar w:fldCharType="separate"/>
      </w:r>
      <w:r>
        <w:rPr>
          <w:rFonts w:hint="default" w:ascii="Times New Roman" w:hAnsi="Times New Roman" w:cs="Times New Roman"/>
          <w:sz w:val="24"/>
        </w:rPr>
        <w:t>33</w:t>
      </w:r>
      <w:r>
        <w:rPr>
          <w:rFonts w:hint="default" w:ascii="Times New Roman" w:hAnsi="Times New Roman" w:cs="Times New Roman"/>
          <w:sz w:val="24"/>
        </w:rPr>
        <w:fldChar w:fldCharType="end"/>
      </w:r>
      <w:r>
        <w:rPr>
          <w:rStyle w:val="252"/>
          <w:rFonts w:hint="default" w:ascii="Times New Roman" w:hAnsi="Times New Roman" w:cs="Times New Roman"/>
          <w:sz w:val="24"/>
        </w:rPr>
        <w:fldChar w:fldCharType="end"/>
      </w:r>
    </w:p>
    <w:p w14:paraId="34E4177E">
      <w:pPr>
        <w:pStyle w:val="233"/>
        <w:tabs>
          <w:tab w:val="right" w:leader="dot" w:pos="8943"/>
        </w:tabs>
        <w:rPr>
          <w:rFonts w:hint="default" w:ascii="Times New Roman" w:hAnsi="Times New Roman" w:cs="Times New Roman"/>
          <w:b w:val="0"/>
          <w:bCs w:val="0"/>
          <w:caps w:val="0"/>
          <w:sz w:val="28"/>
          <w:szCs w:val="22"/>
        </w:rPr>
      </w:pP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"_Toc121905580"</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第六章  投标文件格式</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_Toc121905580 \h </w:instrText>
      </w:r>
      <w:r>
        <w:rPr>
          <w:rFonts w:hint="default" w:ascii="Times New Roman" w:hAnsi="Times New Roman" w:cs="Times New Roman"/>
          <w:sz w:val="24"/>
        </w:rPr>
        <w:fldChar w:fldCharType="separate"/>
      </w:r>
      <w:r>
        <w:rPr>
          <w:rFonts w:hint="default" w:ascii="Times New Roman" w:hAnsi="Times New Roman" w:cs="Times New Roman"/>
          <w:sz w:val="24"/>
        </w:rPr>
        <w:t>36</w:t>
      </w:r>
      <w:r>
        <w:rPr>
          <w:rFonts w:hint="default" w:ascii="Times New Roman" w:hAnsi="Times New Roman" w:cs="Times New Roman"/>
          <w:sz w:val="24"/>
        </w:rPr>
        <w:fldChar w:fldCharType="end"/>
      </w:r>
      <w:r>
        <w:rPr>
          <w:rStyle w:val="252"/>
          <w:rFonts w:hint="default" w:ascii="Times New Roman" w:hAnsi="Times New Roman" w:cs="Times New Roman"/>
          <w:sz w:val="24"/>
        </w:rPr>
        <w:fldChar w:fldCharType="end"/>
      </w:r>
    </w:p>
    <w:p w14:paraId="3D879D80">
      <w:pPr>
        <w:pStyle w:val="233"/>
        <w:tabs>
          <w:tab w:val="right" w:leader="dot" w:pos="8943"/>
        </w:tabs>
        <w:rPr>
          <w:rFonts w:hint="default" w:ascii="Times New Roman" w:hAnsi="Times New Roman" w:eastAsia="宋体" w:cs="Times New Roman"/>
          <w:b w:val="0"/>
          <w:bCs w:val="0"/>
          <w:caps w:val="0"/>
          <w:sz w:val="28"/>
          <w:szCs w:val="22"/>
          <w:lang w:val="en-US" w:eastAsia="zh-CN"/>
        </w:rPr>
      </w:pPr>
      <w:r>
        <w:rPr>
          <w:rStyle w:val="252"/>
          <w:rFonts w:hint="default" w:ascii="Times New Roman" w:hAnsi="Times New Roman" w:cs="Times New Roman"/>
          <w:color w:val="auto"/>
          <w:sz w:val="24"/>
          <w:u w:val="none"/>
        </w:rPr>
        <w:t>附件</w:t>
      </w:r>
      <w:r>
        <w:rPr>
          <w:rStyle w:val="252"/>
          <w:rFonts w:hint="default" w:ascii="Times New Roman" w:hAnsi="Times New Roman" w:eastAsia="宋体" w:cs="Times New Roman"/>
          <w:sz w:val="24"/>
          <w:u w:val="none"/>
          <w:lang w:val="en-US" w:eastAsia="zh-CN"/>
        </w:rPr>
        <w:t xml:space="preserve"> </w:t>
      </w:r>
      <w:r>
        <w:rPr>
          <w:rStyle w:val="252"/>
          <w:rFonts w:hint="default" w:ascii="Times New Roman" w:hAnsi="Times New Roman" w:cs="Times New Roman"/>
          <w:sz w:val="24"/>
          <w:u w:val="none"/>
        </w:rPr>
        <w:t xml:space="preserve">  </w:t>
      </w: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"_Toc121905582"</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质疑函范本</w:t>
      </w:r>
      <w:r>
        <w:rPr>
          <w:rFonts w:hint="default" w:ascii="Times New Roman" w:hAnsi="Times New Roman" w:cs="Times New Roman"/>
          <w:sz w:val="24"/>
        </w:rPr>
        <w:tab/>
      </w:r>
      <w:r>
        <w:rPr>
          <w:rFonts w:hint="default" w:ascii="Times New Roman" w:hAnsi="Times New Roman" w:eastAsia="宋体" w:cs="Times New Roman"/>
          <w:b/>
          <w:bCs/>
          <w:caps/>
          <w:sz w:val="24"/>
          <w:lang w:val="en-US" w:eastAsia="zh-CN"/>
        </w:rPr>
        <w:t>5</w:t>
      </w:r>
      <w:r>
        <w:rPr>
          <w:rStyle w:val="252"/>
          <w:rFonts w:hint="default" w:ascii="Times New Roman" w:hAnsi="Times New Roman" w:cs="Times New Roman"/>
          <w:sz w:val="24"/>
        </w:rPr>
        <w:fldChar w:fldCharType="end"/>
      </w:r>
      <w:r>
        <w:rPr>
          <w:rFonts w:hint="default" w:ascii="Times New Roman" w:hAnsi="Times New Roman" w:eastAsia="宋体" w:cs="Times New Roman"/>
          <w:b/>
          <w:bCs/>
          <w:caps/>
          <w:sz w:val="24"/>
          <w:lang w:val="en-US" w:eastAsia="zh-CN"/>
        </w:rPr>
        <w:t>4</w:t>
      </w:r>
    </w:p>
    <w:p w14:paraId="2E1E7C1D">
      <w:pPr>
        <w:rPr>
          <w:rFonts w:hint="default" w:ascii="Times New Roman" w:hAnsi="Times New Roman" w:cs="Times New Roman"/>
        </w:rPr>
        <w:sectPr>
          <w:pgSz w:w="11906" w:h="16838"/>
          <w:pgMar w:top="1418" w:right="1588" w:bottom="1418" w:left="1365" w:header="851" w:footer="907" w:gutter="0"/>
          <w:pgBorders>
            <w:top w:val="none" w:sz="0" w:space="0"/>
            <w:left w:val="none" w:sz="0" w:space="0"/>
            <w:bottom w:val="none" w:sz="0" w:space="0"/>
            <w:right w:val="none" w:sz="0" w:space="0"/>
          </w:pgBorders>
          <w:pgNumType w:start="1"/>
          <w:cols w:space="1701" w:num="1"/>
          <w:docGrid w:linePitch="360" w:charSpace="0"/>
        </w:sectPr>
      </w:pPr>
      <w:r>
        <w:rPr>
          <w:rFonts w:hint="default" w:ascii="Times New Roman" w:hAnsi="Times New Roman" w:cs="Times New Roman"/>
          <w:sz w:val="96"/>
        </w:rPr>
        <w:fldChar w:fldCharType="end"/>
      </w:r>
    </w:p>
    <w:p w14:paraId="781B3486">
      <w:pPr>
        <w:pStyle w:val="187"/>
        <w:spacing w:line="560" w:lineRule="exact"/>
        <w:rPr>
          <w:rFonts w:hint="default" w:ascii="Times New Roman" w:hAnsi="Times New Roman" w:eastAsia="黑体" w:cs="Times New Roman"/>
          <w:bCs/>
          <w:sz w:val="44"/>
        </w:rPr>
      </w:pPr>
      <w:bookmarkStart w:id="16" w:name="_Toc511899512"/>
      <w:r>
        <w:rPr>
          <w:rFonts w:hint="default" w:ascii="Times New Roman" w:hAnsi="Times New Roman" w:eastAsia="黑体" w:cs="Times New Roman"/>
          <w:bCs/>
          <w:sz w:val="44"/>
        </w:rPr>
        <w:br w:type="page" w:clear="all"/>
      </w:r>
      <w:bookmarkStart w:id="17" w:name="_Toc121905575"/>
      <w:r>
        <w:rPr>
          <w:rFonts w:hint="default" w:ascii="Times New Roman" w:hAnsi="Times New Roman" w:eastAsia="黑体" w:cs="Times New Roman"/>
          <w:bCs/>
          <w:sz w:val="44"/>
        </w:rPr>
        <w:t xml:space="preserve">第一章  </w:t>
      </w:r>
      <w:bookmarkEnd w:id="7"/>
      <w:bookmarkEnd w:id="13"/>
      <w:bookmarkEnd w:id="14"/>
      <w:bookmarkEnd w:id="15"/>
      <w:r>
        <w:rPr>
          <w:rFonts w:hint="default" w:ascii="Times New Roman" w:hAnsi="Times New Roman" w:eastAsia="黑体" w:cs="Times New Roman"/>
          <w:bCs/>
          <w:sz w:val="44"/>
        </w:rPr>
        <w:t>招标邀请</w:t>
      </w:r>
      <w:bookmarkEnd w:id="16"/>
      <w:bookmarkEnd w:id="17"/>
    </w:p>
    <w:p w14:paraId="3E651C3D">
      <w:pPr>
        <w:spacing w:line="520" w:lineRule="exact"/>
        <w:ind w:firstLine="480"/>
        <w:rPr>
          <w:rFonts w:hint="default" w:ascii="Times New Roman" w:hAnsi="Times New Roman" w:cs="Times New Roman"/>
          <w:bCs/>
          <w:sz w:val="24"/>
        </w:rPr>
      </w:pPr>
      <w:bookmarkStart w:id="18" w:name="_Toc120614211"/>
      <w:r>
        <w:rPr>
          <w:rFonts w:hint="default" w:ascii="Times New Roman" w:hAnsi="Times New Roman" w:cs="Times New Roman"/>
          <w:bCs/>
          <w:sz w:val="24"/>
        </w:rPr>
        <w:t>江苏省体育装备中心（以下简称装备中心）受江苏省方山体育训练基地的委托，决定就其所需的</w:t>
      </w:r>
      <w:r>
        <w:rPr>
          <w:rFonts w:hint="default" w:ascii="Times New Roman" w:hAnsi="Times New Roman" w:cs="Times New Roman"/>
          <w:bCs/>
          <w:sz w:val="24"/>
          <w:lang w:eastAsia="zh-CN"/>
        </w:rPr>
        <w:t>2025年射箭复合弓装备采购（第二次）</w:t>
      </w:r>
      <w:r>
        <w:rPr>
          <w:rFonts w:hint="default" w:ascii="Times New Roman" w:hAnsi="Times New Roman" w:cs="Times New Roman"/>
          <w:bCs/>
          <w:sz w:val="24"/>
        </w:rPr>
        <w:t>进行公开招标，现欢迎符合相关条件的合格供应商投标。</w:t>
      </w:r>
    </w:p>
    <w:p w14:paraId="2203B835">
      <w:pPr>
        <w:pBdr>
          <w:top w:val="single" w:color="000000" w:sz="4" w:space="1"/>
          <w:left w:val="single" w:color="000000" w:sz="4" w:space="4"/>
          <w:bottom w:val="single" w:color="000000" w:sz="4" w:space="1"/>
          <w:right w:val="single" w:color="000000" w:sz="4" w:space="4"/>
        </w:pBd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项目概况</w:t>
      </w:r>
    </w:p>
    <w:p w14:paraId="52423B69">
      <w:pPr>
        <w:pBdr>
          <w:top w:val="single" w:color="000000" w:sz="4" w:space="1"/>
          <w:left w:val="single" w:color="000000" w:sz="4" w:space="4"/>
          <w:bottom w:val="single" w:color="000000" w:sz="4" w:space="1"/>
          <w:right w:val="single" w:color="000000" w:sz="4" w:space="4"/>
        </w:pBdr>
        <w:spacing w:line="520" w:lineRule="exact"/>
        <w:ind w:firstLine="480"/>
        <w:rPr>
          <w:rFonts w:hint="default" w:ascii="Times New Roman" w:hAnsi="Times New Roman" w:cs="Times New Roman"/>
          <w:sz w:val="24"/>
          <w:szCs w:val="24"/>
        </w:rPr>
      </w:pPr>
      <w:r>
        <w:rPr>
          <w:rFonts w:hint="default" w:ascii="Times New Roman" w:hAnsi="Times New Roman" w:cs="Times New Roman"/>
          <w:bCs/>
          <w:sz w:val="24"/>
          <w:u w:val="single"/>
          <w:lang w:eastAsia="zh-CN"/>
        </w:rPr>
        <w:t>2025年射箭复合弓装备采购（第二次）</w:t>
      </w:r>
      <w:r>
        <w:rPr>
          <w:rFonts w:hint="default" w:ascii="Times New Roman" w:hAnsi="Times New Roman" w:cs="Times New Roman"/>
          <w:sz w:val="24"/>
          <w:szCs w:val="24"/>
        </w:rPr>
        <w:t>的潜在投标人应在</w:t>
      </w:r>
      <w:r>
        <w:rPr>
          <w:rFonts w:hint="default" w:ascii="Times New Roman" w:hAnsi="Times New Roman" w:cs="Times New Roman"/>
          <w:sz w:val="24"/>
          <w:szCs w:val="24"/>
          <w:highlight w:val="none"/>
          <w:u w:val="single"/>
        </w:rPr>
        <w:t>“</w:t>
      </w:r>
      <w:r>
        <w:rPr>
          <w:rFonts w:hint="default" w:ascii="Times New Roman" w:hAnsi="Times New Roman" w:cs="Times New Roman"/>
          <w:sz w:val="24"/>
          <w:szCs w:val="24"/>
          <w:highlight w:val="none"/>
          <w:u w:val="single"/>
          <w:lang w:val="en-US" w:eastAsia="zh-CN"/>
        </w:rPr>
        <w:t>江苏省体育局</w:t>
      </w:r>
      <w:r>
        <w:rPr>
          <w:rFonts w:hint="default" w:ascii="Times New Roman" w:hAnsi="Times New Roman" w:cs="Times New Roman"/>
          <w:sz w:val="24"/>
          <w:szCs w:val="24"/>
          <w:highlight w:val="none"/>
          <w:u w:val="single"/>
        </w:rPr>
        <w:t>”</w:t>
      </w:r>
      <w:r>
        <w:rPr>
          <w:rFonts w:hint="default" w:ascii="Times New Roman" w:hAnsi="Times New Roman" w:cs="Times New Roman"/>
          <w:sz w:val="24"/>
          <w:szCs w:val="24"/>
          <w:u w:val="single"/>
          <w:lang w:val="en-US" w:eastAsia="zh-CN"/>
        </w:rPr>
        <w:t>门户</w:t>
      </w:r>
      <w:r>
        <w:rPr>
          <w:rFonts w:hint="default" w:ascii="Times New Roman" w:hAnsi="Times New Roman" w:cs="Times New Roman"/>
          <w:sz w:val="24"/>
          <w:szCs w:val="24"/>
          <w:u w:val="single"/>
        </w:rPr>
        <w:t>网</w:t>
      </w:r>
      <w:r>
        <w:rPr>
          <w:rFonts w:hint="default" w:ascii="Times New Roman" w:hAnsi="Times New Roman" w:cs="Times New Roman"/>
          <w:sz w:val="24"/>
          <w:szCs w:val="24"/>
          <w:u w:val="single"/>
          <w:lang w:val="en-US" w:eastAsia="zh-CN"/>
        </w:rPr>
        <w:t>站</w:t>
      </w:r>
      <w:r>
        <w:rPr>
          <w:rFonts w:hint="default" w:ascii="Times New Roman" w:hAnsi="Times New Roman" w:cs="Times New Roman"/>
          <w:sz w:val="24"/>
          <w:szCs w:val="24"/>
          <w:u w:val="single"/>
        </w:rPr>
        <w:t xml:space="preserve">自行下载 </w:t>
      </w:r>
      <w:r>
        <w:rPr>
          <w:rFonts w:hint="default" w:ascii="Times New Roman" w:hAnsi="Times New Roman" w:cs="Times New Roman"/>
          <w:sz w:val="24"/>
          <w:szCs w:val="24"/>
        </w:rPr>
        <w:t>获取招标文件，并于</w:t>
      </w:r>
      <w:r>
        <w:rPr>
          <w:rFonts w:hint="default" w:ascii="Times New Roman" w:hAnsi="Times New Roman" w:cs="Times New Roman"/>
          <w:sz w:val="24"/>
          <w:szCs w:val="24"/>
          <w:u w:val="single"/>
        </w:rPr>
        <w:t>2025</w:t>
      </w:r>
      <w:r>
        <w:rPr>
          <w:rFonts w:hint="default" w:ascii="Times New Roman" w:hAnsi="Times New Roman" w:cs="Times New Roman"/>
          <w:bCs/>
          <w:sz w:val="24"/>
          <w:szCs w:val="24"/>
          <w:u w:val="single"/>
        </w:rPr>
        <w:t>年</w:t>
      </w:r>
      <w:r>
        <w:rPr>
          <w:rFonts w:hint="default" w:ascii="Times New Roman" w:hAnsi="Times New Roman" w:cs="Times New Roman"/>
          <w:bCs/>
          <w:sz w:val="24"/>
          <w:szCs w:val="24"/>
          <w:u w:val="single"/>
          <w:lang w:val="en-US" w:eastAsia="zh-CN"/>
        </w:rPr>
        <w:t>1</w:t>
      </w:r>
      <w:r>
        <w:rPr>
          <w:rFonts w:hint="eastAsia" w:ascii="Times New Roman" w:hAnsi="Times New Roman" w:cs="Times New Roman"/>
          <w:bCs/>
          <w:sz w:val="24"/>
          <w:szCs w:val="24"/>
          <w:u w:val="single"/>
          <w:lang w:val="en-US" w:eastAsia="zh-CN"/>
        </w:rPr>
        <w:t>2</w:t>
      </w:r>
      <w:r>
        <w:rPr>
          <w:rFonts w:hint="default" w:ascii="Times New Roman" w:hAnsi="Times New Roman" w:cs="Times New Roman"/>
          <w:bCs/>
          <w:sz w:val="24"/>
          <w:szCs w:val="24"/>
          <w:u w:val="single"/>
        </w:rPr>
        <w:t>月</w:t>
      </w:r>
      <w:r>
        <w:rPr>
          <w:rFonts w:hint="eastAsia" w:ascii="Times New Roman" w:hAnsi="Times New Roman" w:cs="Times New Roman"/>
          <w:bCs/>
          <w:sz w:val="24"/>
          <w:szCs w:val="24"/>
          <w:u w:val="single"/>
          <w:lang w:val="en-US" w:eastAsia="zh-CN"/>
        </w:rPr>
        <w:t>23</w:t>
      </w:r>
      <w:r>
        <w:rPr>
          <w:rFonts w:hint="default" w:ascii="Times New Roman" w:hAnsi="Times New Roman" w:cs="Times New Roman"/>
          <w:bCs/>
          <w:sz w:val="24"/>
          <w:szCs w:val="24"/>
          <w:u w:val="single"/>
        </w:rPr>
        <w:t>日</w:t>
      </w:r>
      <w:r>
        <w:rPr>
          <w:rFonts w:hint="default" w:ascii="Times New Roman" w:hAnsi="Times New Roman" w:cs="Times New Roman"/>
          <w:bCs/>
          <w:sz w:val="24"/>
          <w:szCs w:val="24"/>
          <w:u w:val="single"/>
          <w:lang w:val="en-US" w:eastAsia="zh-CN"/>
        </w:rPr>
        <w:t>14</w:t>
      </w:r>
      <w:r>
        <w:rPr>
          <w:rFonts w:hint="default" w:ascii="Times New Roman" w:hAnsi="Times New Roman" w:cs="Times New Roman"/>
          <w:bCs/>
          <w:sz w:val="24"/>
          <w:szCs w:val="24"/>
          <w:u w:val="single"/>
        </w:rPr>
        <w:t>点</w:t>
      </w:r>
      <w:r>
        <w:rPr>
          <w:rFonts w:hint="default" w:ascii="Times New Roman" w:hAnsi="Times New Roman" w:cs="Times New Roman"/>
          <w:bCs/>
          <w:sz w:val="24"/>
          <w:szCs w:val="24"/>
          <w:u w:val="single"/>
          <w:lang w:val="en-US" w:eastAsia="zh-CN"/>
        </w:rPr>
        <w:t>0</w:t>
      </w:r>
      <w:r>
        <w:rPr>
          <w:rFonts w:hint="default" w:ascii="Times New Roman" w:hAnsi="Times New Roman" w:cs="Times New Roman"/>
          <w:bCs/>
          <w:sz w:val="24"/>
          <w:szCs w:val="24"/>
          <w:u w:val="single"/>
        </w:rPr>
        <w:t>0分（</w:t>
      </w:r>
      <w:r>
        <w:rPr>
          <w:rFonts w:hint="default" w:ascii="Times New Roman" w:hAnsi="Times New Roman" w:cs="Times New Roman"/>
          <w:bCs/>
          <w:sz w:val="24"/>
          <w:szCs w:val="24"/>
        </w:rPr>
        <w:t>北京时间）前递交投标文件</w:t>
      </w:r>
      <w:r>
        <w:rPr>
          <w:rFonts w:hint="default" w:ascii="Times New Roman" w:hAnsi="Times New Roman" w:cs="Times New Roman"/>
          <w:sz w:val="24"/>
          <w:szCs w:val="24"/>
        </w:rPr>
        <w:t>。</w:t>
      </w:r>
    </w:p>
    <w:p w14:paraId="37F15E7F">
      <w:pPr>
        <w:spacing w:line="520" w:lineRule="exact"/>
        <w:ind w:firstLine="482"/>
        <w:rPr>
          <w:rFonts w:hint="default" w:ascii="Times New Roman" w:hAnsi="Times New Roman" w:cs="Times New Roman"/>
          <w:b/>
          <w:bCs/>
          <w:sz w:val="24"/>
        </w:rPr>
      </w:pPr>
      <w:bookmarkStart w:id="19" w:name="_Toc28359002"/>
      <w:bookmarkStart w:id="20" w:name="_Toc35393621"/>
      <w:bookmarkStart w:id="21" w:name="_Toc28359079"/>
      <w:bookmarkStart w:id="22" w:name="_Toc35393790"/>
      <w:bookmarkStart w:id="23" w:name="_Hlk24379207"/>
      <w:r>
        <w:rPr>
          <w:rFonts w:hint="default" w:ascii="Times New Roman" w:hAnsi="Times New Roman" w:cs="Times New Roman"/>
          <w:b/>
          <w:bCs/>
          <w:sz w:val="24"/>
        </w:rPr>
        <w:t>一、项目基本情况</w:t>
      </w:r>
      <w:bookmarkEnd w:id="19"/>
      <w:bookmarkEnd w:id="20"/>
      <w:bookmarkEnd w:id="21"/>
      <w:bookmarkEnd w:id="22"/>
    </w:p>
    <w:p w14:paraId="52838961">
      <w:pPr>
        <w:spacing w:line="520" w:lineRule="exact"/>
        <w:ind w:firstLine="480"/>
        <w:rPr>
          <w:rFonts w:hint="default" w:ascii="Times New Roman" w:hAnsi="Times New Roman" w:eastAsia="宋体" w:cs="Times New Roman"/>
          <w:bCs/>
          <w:sz w:val="24"/>
          <w:lang w:eastAsia="zh-CN"/>
        </w:rPr>
      </w:pPr>
      <w:r>
        <w:rPr>
          <w:rFonts w:hint="default" w:ascii="Times New Roman" w:hAnsi="Times New Roman" w:cs="Times New Roman"/>
          <w:bCs/>
          <w:sz w:val="24"/>
        </w:rPr>
        <w:t>项目编号：</w:t>
      </w:r>
      <w:r>
        <w:rPr>
          <w:rFonts w:hint="eastAsia" w:ascii="Times New Roman" w:hAnsi="Times New Roman" w:cs="Times New Roman"/>
          <w:bCs/>
          <w:sz w:val="24"/>
          <w:lang w:eastAsia="zh-CN"/>
        </w:rPr>
        <w:t>STZ-ZBGK25057</w:t>
      </w:r>
    </w:p>
    <w:p w14:paraId="661BB815">
      <w:pPr>
        <w:spacing w:line="520" w:lineRule="exact"/>
        <w:ind w:firstLine="480"/>
        <w:rPr>
          <w:rFonts w:hint="default" w:ascii="Times New Roman" w:hAnsi="Times New Roman" w:eastAsia="宋体" w:cs="Times New Roman"/>
          <w:bCs/>
          <w:sz w:val="24"/>
          <w:lang w:eastAsia="zh-CN"/>
        </w:rPr>
      </w:pPr>
      <w:r>
        <w:rPr>
          <w:rFonts w:hint="default" w:ascii="Times New Roman" w:hAnsi="Times New Roman" w:cs="Times New Roman"/>
          <w:bCs/>
          <w:sz w:val="24"/>
        </w:rPr>
        <w:t>项目名称：</w:t>
      </w:r>
      <w:r>
        <w:rPr>
          <w:rFonts w:hint="default" w:ascii="Times New Roman" w:hAnsi="Times New Roman" w:cs="Times New Roman"/>
          <w:bCs/>
          <w:sz w:val="24"/>
          <w:lang w:eastAsia="zh-CN"/>
        </w:rPr>
        <w:t>2025年射箭复合弓装备采购（第二次）</w:t>
      </w:r>
    </w:p>
    <w:bookmarkEnd w:id="23"/>
    <w:p w14:paraId="325D1F8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预算金额：</w:t>
      </w:r>
      <w:r>
        <w:rPr>
          <w:rFonts w:hint="default" w:ascii="Times New Roman" w:hAnsi="Times New Roman" w:cs="Times New Roman"/>
          <w:bCs/>
          <w:sz w:val="24"/>
          <w:lang w:val="en-US" w:eastAsia="zh-CN"/>
        </w:rPr>
        <w:t>95</w:t>
      </w:r>
      <w:r>
        <w:rPr>
          <w:rFonts w:hint="default" w:ascii="Times New Roman" w:hAnsi="Times New Roman" w:cs="Times New Roman"/>
          <w:bCs/>
          <w:sz w:val="24"/>
        </w:rPr>
        <w:t>万元。</w:t>
      </w:r>
    </w:p>
    <w:p w14:paraId="5F400838">
      <w:pPr>
        <w:spacing w:line="530" w:lineRule="exact"/>
        <w:ind w:firstLine="480"/>
        <w:rPr>
          <w:rFonts w:hint="default" w:ascii="Times New Roman" w:hAnsi="Times New Roman" w:cs="Times New Roman"/>
          <w:bCs/>
          <w:sz w:val="24"/>
        </w:rPr>
      </w:pPr>
      <w:r>
        <w:rPr>
          <w:rFonts w:hint="default" w:ascii="Times New Roman" w:hAnsi="Times New Roman" w:cs="Times New Roman"/>
          <w:bCs/>
          <w:sz w:val="24"/>
        </w:rPr>
        <w:t>采购需求：方山基地拟实施</w:t>
      </w:r>
      <w:r>
        <w:rPr>
          <w:rFonts w:hint="default" w:ascii="Times New Roman" w:hAnsi="Times New Roman" w:cs="Times New Roman"/>
          <w:bCs/>
          <w:sz w:val="24"/>
          <w:lang w:val="en-US" w:eastAsia="zh-CN"/>
        </w:rPr>
        <w:t>95</w:t>
      </w:r>
      <w:r>
        <w:rPr>
          <w:rFonts w:hint="default" w:ascii="Times New Roman" w:hAnsi="Times New Roman" w:cs="Times New Roman"/>
          <w:bCs/>
          <w:sz w:val="24"/>
        </w:rPr>
        <w:t>万元的</w:t>
      </w:r>
      <w:r>
        <w:rPr>
          <w:rFonts w:hint="default" w:ascii="Times New Roman" w:hAnsi="Times New Roman" w:cs="Times New Roman"/>
          <w:bCs/>
          <w:sz w:val="24"/>
          <w:lang w:val="en-US" w:eastAsia="zh-CN"/>
        </w:rPr>
        <w:t>进口复合弓射箭装备</w:t>
      </w:r>
      <w:r>
        <w:rPr>
          <w:rFonts w:hint="default" w:ascii="Times New Roman" w:hAnsi="Times New Roman" w:cs="Times New Roman"/>
          <w:bCs/>
          <w:sz w:val="24"/>
        </w:rPr>
        <w:t>采购计划，用于射箭队训练及参赛。具体内容详见招标文件第四章“项目需求”。</w:t>
      </w:r>
    </w:p>
    <w:p w14:paraId="69D06EE5">
      <w:pPr>
        <w:spacing w:line="520" w:lineRule="exact"/>
        <w:ind w:firstLine="480"/>
        <w:rPr>
          <w:rFonts w:hint="default" w:ascii="Times New Roman" w:hAnsi="Times New Roman" w:cs="Times New Roman"/>
          <w:bCs/>
          <w:sz w:val="24"/>
          <w:szCs w:val="22"/>
        </w:rPr>
      </w:pPr>
      <w:r>
        <w:rPr>
          <w:rFonts w:hint="default" w:ascii="Times New Roman" w:hAnsi="Times New Roman" w:cs="Times New Roman"/>
          <w:bCs/>
          <w:sz w:val="24"/>
        </w:rPr>
        <w:t>合同履行期限：</w:t>
      </w:r>
      <w:r>
        <w:rPr>
          <w:rFonts w:hint="default" w:ascii="Times New Roman" w:hAnsi="Times New Roman" w:cs="Times New Roman"/>
          <w:bCs/>
          <w:sz w:val="24"/>
          <w:szCs w:val="22"/>
        </w:rPr>
        <w:t>合同签订后</w:t>
      </w:r>
      <w:r>
        <w:rPr>
          <w:rFonts w:hint="default" w:ascii="Times New Roman" w:hAnsi="Times New Roman" w:cs="Times New Roman"/>
          <w:bCs/>
          <w:sz w:val="24"/>
          <w:szCs w:val="22"/>
          <w:lang w:val="en-US" w:eastAsia="zh-CN"/>
        </w:rPr>
        <w:t>45</w:t>
      </w:r>
      <w:r>
        <w:rPr>
          <w:rFonts w:hint="default" w:ascii="Times New Roman" w:hAnsi="Times New Roman" w:cs="Times New Roman"/>
          <w:bCs/>
          <w:sz w:val="24"/>
          <w:szCs w:val="22"/>
        </w:rPr>
        <w:t>日历天（不可抗力因素除外）内供货、安装、调试完毕，保证项目交付采购人验收通过。</w:t>
      </w:r>
    </w:p>
    <w:p w14:paraId="2C2E30B1">
      <w:pPr>
        <w:spacing w:line="520" w:lineRule="exact"/>
        <w:ind w:firstLine="480"/>
        <w:rPr>
          <w:rFonts w:hint="default" w:ascii="Times New Roman" w:hAnsi="Times New Roman" w:cs="Times New Roman"/>
          <w:bCs/>
          <w:sz w:val="24"/>
        </w:rPr>
      </w:pPr>
      <w:r>
        <w:rPr>
          <w:rFonts w:hint="default" w:ascii="Times New Roman" w:hAnsi="Times New Roman" w:cs="Times New Roman"/>
          <w:sz w:val="24"/>
        </w:rPr>
        <w:t>本项目</w:t>
      </w:r>
      <w:r>
        <w:rPr>
          <w:rFonts w:hint="default" w:ascii="Times New Roman" w:hAnsi="Times New Roman" w:cs="Times New Roman"/>
          <w:sz w:val="24"/>
          <w:u w:val="single"/>
        </w:rPr>
        <w:t xml:space="preserve"> 接受 </w:t>
      </w:r>
      <w:r>
        <w:rPr>
          <w:rFonts w:hint="default" w:ascii="Times New Roman" w:hAnsi="Times New Roman" w:cs="Times New Roman"/>
          <w:sz w:val="24"/>
        </w:rPr>
        <w:t>供应商使用进口产品参与投标。</w:t>
      </w:r>
    </w:p>
    <w:p w14:paraId="071B331E">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本项目</w:t>
      </w:r>
      <w:r>
        <w:rPr>
          <w:rFonts w:hint="default" w:ascii="Times New Roman" w:hAnsi="Times New Roman" w:cs="Times New Roman"/>
          <w:bCs/>
          <w:sz w:val="24"/>
          <w:u w:val="single"/>
        </w:rPr>
        <w:t xml:space="preserve"> 不接受 </w:t>
      </w:r>
      <w:r>
        <w:rPr>
          <w:rFonts w:hint="default" w:ascii="Times New Roman" w:hAnsi="Times New Roman" w:cs="Times New Roman"/>
          <w:bCs/>
          <w:sz w:val="24"/>
        </w:rPr>
        <w:t>联合体</w:t>
      </w:r>
      <w:r>
        <w:rPr>
          <w:rFonts w:hint="default" w:ascii="Times New Roman" w:hAnsi="Times New Roman" w:cs="Times New Roman"/>
          <w:sz w:val="24"/>
        </w:rPr>
        <w:t>参与投标</w:t>
      </w:r>
      <w:r>
        <w:rPr>
          <w:rFonts w:hint="default" w:ascii="Times New Roman" w:hAnsi="Times New Roman" w:cs="Times New Roman"/>
          <w:bCs/>
          <w:sz w:val="24"/>
        </w:rPr>
        <w:t>。</w:t>
      </w:r>
    </w:p>
    <w:p w14:paraId="3B2F8014">
      <w:pPr>
        <w:spacing w:line="520" w:lineRule="exact"/>
        <w:ind w:firstLine="482"/>
        <w:rPr>
          <w:rFonts w:hint="default" w:ascii="Times New Roman" w:hAnsi="Times New Roman" w:cs="Times New Roman"/>
          <w:b/>
          <w:bCs/>
          <w:sz w:val="24"/>
        </w:rPr>
      </w:pPr>
      <w:bookmarkStart w:id="24" w:name="_Toc35393622"/>
      <w:bookmarkStart w:id="25" w:name="_Toc28359080"/>
      <w:bookmarkStart w:id="26" w:name="_Toc28359003"/>
      <w:bookmarkStart w:id="27" w:name="_Toc35393791"/>
      <w:r>
        <w:rPr>
          <w:rFonts w:hint="default" w:ascii="Times New Roman" w:hAnsi="Times New Roman" w:cs="Times New Roman"/>
          <w:b/>
          <w:bCs/>
          <w:sz w:val="24"/>
        </w:rPr>
        <w:t>二、申请人的资格要求：</w:t>
      </w:r>
      <w:bookmarkEnd w:id="24"/>
      <w:bookmarkEnd w:id="25"/>
      <w:bookmarkEnd w:id="26"/>
      <w:bookmarkEnd w:id="27"/>
    </w:p>
    <w:p w14:paraId="2110A7DC">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 满足《中华人民共和国政府采购法》第二十二条规定，并提供下列材料：</w:t>
      </w:r>
    </w:p>
    <w:p w14:paraId="29CCE6E4">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 xml:space="preserve">1.1 </w:t>
      </w:r>
      <w:r>
        <w:rPr>
          <w:rFonts w:hint="default" w:ascii="Times New Roman" w:hAnsi="Times New Roman" w:cs="Times New Roman"/>
          <w:sz w:val="24"/>
          <w:szCs w:val="24"/>
        </w:rPr>
        <w:t>法人或者其他组织的营业执照等证明文件</w:t>
      </w:r>
      <w:r>
        <w:rPr>
          <w:rStyle w:val="268"/>
          <w:rFonts w:hint="default" w:ascii="Times New Roman" w:hAnsi="Times New Roman" w:cs="Times New Roman"/>
          <w:sz w:val="24"/>
          <w:szCs w:val="24"/>
        </w:rPr>
        <w:t>，自然人的身份证明</w:t>
      </w:r>
      <w:r>
        <w:rPr>
          <w:rFonts w:hint="default" w:ascii="Times New Roman" w:hAnsi="Times New Roman" w:cs="Times New Roman"/>
          <w:sz w:val="24"/>
          <w:szCs w:val="24"/>
        </w:rPr>
        <w:t>；</w:t>
      </w:r>
    </w:p>
    <w:p w14:paraId="67F569A5">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1.2</w:t>
      </w:r>
      <w:r>
        <w:rPr>
          <w:rFonts w:hint="default" w:ascii="Times New Roman" w:hAnsi="Times New Roman" w:cs="Times New Roman"/>
          <w:bCs/>
          <w:sz w:val="24"/>
          <w:lang w:eastAsia="zh-CN"/>
        </w:rPr>
        <w:t xml:space="preserve"> 2024年度的财务状况报告（成立不满一年不需提供）</w:t>
      </w:r>
      <w:r>
        <w:rPr>
          <w:rFonts w:hint="default" w:ascii="Times New Roman" w:hAnsi="Times New Roman" w:cs="Times New Roman"/>
          <w:bCs/>
          <w:sz w:val="24"/>
        </w:rPr>
        <w:t>；</w:t>
      </w:r>
    </w:p>
    <w:p w14:paraId="4E89C318">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1.3 依法缴纳税收和社会保障资金的相关材料；</w:t>
      </w:r>
    </w:p>
    <w:p w14:paraId="14AA4076">
      <w:pPr>
        <w:spacing w:line="520" w:lineRule="exact"/>
        <w:ind w:firstLine="480"/>
        <w:rPr>
          <w:rFonts w:hint="default" w:ascii="Times New Roman" w:hAnsi="Times New Roman" w:cs="Times New Roman"/>
          <w:bCs/>
          <w:color w:val="FF0000"/>
          <w:sz w:val="24"/>
        </w:rPr>
      </w:pPr>
      <w:r>
        <w:rPr>
          <w:rFonts w:hint="default" w:ascii="Times New Roman" w:hAnsi="Times New Roman" w:cs="Times New Roman"/>
          <w:bCs/>
          <w:sz w:val="24"/>
        </w:rPr>
        <w:t>1.4 具有履行合同所必需的设备和专业技术能力的</w:t>
      </w:r>
      <w:r>
        <w:rPr>
          <w:rFonts w:hint="default" w:ascii="Times New Roman" w:hAnsi="Times New Roman" w:cs="Times New Roman"/>
          <w:sz w:val="24"/>
          <w:szCs w:val="24"/>
        </w:rPr>
        <w:t>书面声明；</w:t>
      </w:r>
    </w:p>
    <w:p w14:paraId="3E68BCDC">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1.5参加政府采购活动前3年内在经营活动中没有重大违法记录的书面声明；</w:t>
      </w:r>
    </w:p>
    <w:p w14:paraId="20C3DEF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1.6 单位负责人为同一人或者存在直接控股、管理关系的不同供应商，不得参加同一项目的政府采购活动；</w:t>
      </w:r>
    </w:p>
    <w:p w14:paraId="06339E18">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1.7</w:t>
      </w:r>
      <w:r>
        <w:rPr>
          <w:rFonts w:hint="default" w:ascii="Times New Roman" w:hAnsi="Times New Roman" w:cs="Times New Roman"/>
          <w:sz w:val="24"/>
          <w:szCs w:val="24"/>
        </w:rPr>
        <w:t>本项目投标文件提交截止日前</w:t>
      </w:r>
      <w:r>
        <w:rPr>
          <w:rFonts w:hint="default" w:ascii="Times New Roman" w:hAnsi="Times New Roman" w:cs="Times New Roman"/>
          <w:bCs/>
          <w:sz w:val="24"/>
        </w:rPr>
        <w:t>未被“信用中国”、“中国政府采购网”列入失信被执行人、重大税收违法案件当事人名单、政府采购严重失信行为记录名单</w:t>
      </w:r>
      <w:r>
        <w:rPr>
          <w:rFonts w:hint="default" w:ascii="Times New Roman" w:hAnsi="Times New Roman" w:cs="Times New Roman"/>
          <w:sz w:val="24"/>
          <w:szCs w:val="24"/>
        </w:rPr>
        <w:t>及未发现存在不符合《中华人民共和国政府采购法》第二十二条规定条件的情形。投标文件中无需提供证明材料。</w:t>
      </w:r>
    </w:p>
    <w:p w14:paraId="1A7E4A2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2.落实政府采购政策需满足的资格要求：无</w:t>
      </w:r>
    </w:p>
    <w:p w14:paraId="1CDB7D98">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 xml:space="preserve">3.本项目的特定资格要求： </w:t>
      </w:r>
    </w:p>
    <w:p w14:paraId="508A1DDB">
      <w:pPr>
        <w:spacing w:line="520" w:lineRule="exact"/>
        <w:ind w:firstLine="480"/>
        <w:rPr>
          <w:rFonts w:hint="default" w:ascii="Times New Roman" w:hAnsi="Times New Roman" w:cs="Times New Roman"/>
          <w:bCs/>
          <w:sz w:val="24"/>
        </w:rPr>
      </w:pPr>
      <w:bookmarkStart w:id="28" w:name="_Toc35393792"/>
      <w:bookmarkStart w:id="29" w:name="_Toc35393623"/>
      <w:r>
        <w:rPr>
          <w:rFonts w:hint="default" w:ascii="Times New Roman" w:hAnsi="Times New Roman" w:cs="Times New Roman"/>
          <w:bCs/>
          <w:sz w:val="24"/>
        </w:rPr>
        <w:t>3.1供应商使用进口产品参与投标的，核心产品须具有下列授权文件（含中文翻译件）之一：</w:t>
      </w:r>
    </w:p>
    <w:p w14:paraId="1675C954">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a.制造商出具的授权函正本；</w:t>
      </w:r>
    </w:p>
    <w:p w14:paraId="03454A18">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b.制造商的国内全资子公司出具的授权函正本；</w:t>
      </w:r>
    </w:p>
    <w:p w14:paraId="2824F98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c.制造商对授权的区域代理商出具的授权函复印件及该区域代理商出具的授权函正本；</w:t>
      </w:r>
    </w:p>
    <w:p w14:paraId="39795274">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d.供应商取得的产品代理证书复印件。</w:t>
      </w:r>
    </w:p>
    <w:p w14:paraId="2D772D36">
      <w:pPr>
        <w:spacing w:line="520" w:lineRule="exact"/>
        <w:ind w:firstLine="482"/>
        <w:rPr>
          <w:rFonts w:hint="default" w:ascii="Times New Roman" w:hAnsi="Times New Roman" w:cs="Times New Roman"/>
          <w:b/>
          <w:bCs/>
          <w:sz w:val="24"/>
        </w:rPr>
      </w:pPr>
      <w:r>
        <w:rPr>
          <w:rFonts w:hint="default" w:ascii="Times New Roman" w:hAnsi="Times New Roman" w:cs="Times New Roman"/>
          <w:b/>
          <w:bCs/>
          <w:sz w:val="24"/>
        </w:rPr>
        <w:t>三、获取招标文件</w:t>
      </w:r>
      <w:bookmarkEnd w:id="28"/>
      <w:bookmarkEnd w:id="29"/>
    </w:p>
    <w:p w14:paraId="4FA23E55">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时间：</w:t>
      </w:r>
      <w:r>
        <w:rPr>
          <w:rFonts w:hint="default" w:ascii="Times New Roman" w:hAnsi="Times New Roman" w:cs="Times New Roman"/>
          <w:bCs/>
          <w:sz w:val="24"/>
          <w:u w:val="single"/>
        </w:rPr>
        <w:t>2025年</w:t>
      </w:r>
      <w:r>
        <w:rPr>
          <w:rFonts w:hint="eastAsia" w:ascii="Times New Roman" w:hAnsi="Times New Roman" w:cs="Times New Roman"/>
          <w:bCs/>
          <w:sz w:val="24"/>
          <w:u w:val="single"/>
          <w:lang w:val="en-US" w:eastAsia="zh-CN"/>
        </w:rPr>
        <w:t>12</w:t>
      </w:r>
      <w:r>
        <w:rPr>
          <w:rFonts w:hint="default" w:ascii="Times New Roman" w:hAnsi="Times New Roman" w:cs="Times New Roman"/>
          <w:bCs/>
          <w:sz w:val="24"/>
          <w:u w:val="single"/>
          <w:lang w:val="en-US" w:eastAsia="zh-CN"/>
        </w:rPr>
        <w:t xml:space="preserve"> </w:t>
      </w:r>
      <w:r>
        <w:rPr>
          <w:rFonts w:hint="default" w:ascii="Times New Roman" w:hAnsi="Times New Roman" w:cs="Times New Roman"/>
          <w:bCs/>
          <w:sz w:val="24"/>
          <w:u w:val="single"/>
        </w:rPr>
        <w:t>月</w:t>
      </w:r>
      <w:r>
        <w:rPr>
          <w:rFonts w:hint="eastAsia" w:ascii="Times New Roman" w:hAnsi="Times New Roman" w:cs="Times New Roman"/>
          <w:bCs/>
          <w:sz w:val="24"/>
          <w:u w:val="single"/>
          <w:lang w:val="en-US" w:eastAsia="zh-CN"/>
        </w:rPr>
        <w:t>3</w:t>
      </w:r>
      <w:r>
        <w:rPr>
          <w:rFonts w:hint="default" w:ascii="Times New Roman" w:hAnsi="Times New Roman" w:cs="Times New Roman"/>
          <w:bCs/>
          <w:sz w:val="24"/>
          <w:u w:val="single"/>
        </w:rPr>
        <w:t>日至2025年</w:t>
      </w:r>
      <w:r>
        <w:rPr>
          <w:rFonts w:hint="eastAsia" w:ascii="Times New Roman" w:hAnsi="Times New Roman" w:cs="Times New Roman"/>
          <w:bCs/>
          <w:sz w:val="24"/>
          <w:u w:val="single"/>
          <w:lang w:val="en-US" w:eastAsia="zh-CN"/>
        </w:rPr>
        <w:t>12</w:t>
      </w:r>
      <w:r>
        <w:rPr>
          <w:rFonts w:hint="default" w:ascii="Times New Roman" w:hAnsi="Times New Roman" w:cs="Times New Roman"/>
          <w:bCs/>
          <w:sz w:val="24"/>
          <w:u w:val="single"/>
          <w:lang w:val="en-US" w:eastAsia="zh-CN"/>
        </w:rPr>
        <w:t xml:space="preserve"> </w:t>
      </w:r>
      <w:r>
        <w:rPr>
          <w:rFonts w:hint="default" w:ascii="Times New Roman" w:hAnsi="Times New Roman" w:cs="Times New Roman"/>
          <w:bCs/>
          <w:sz w:val="24"/>
          <w:u w:val="single"/>
        </w:rPr>
        <w:t>月</w:t>
      </w:r>
      <w:r>
        <w:rPr>
          <w:rFonts w:hint="default" w:ascii="Times New Roman" w:hAnsi="Times New Roman" w:cs="Times New Roman"/>
          <w:bCs/>
          <w:sz w:val="24"/>
          <w:u w:val="single"/>
          <w:lang w:val="en-US" w:eastAsia="zh-CN"/>
        </w:rPr>
        <w:t xml:space="preserve"> </w:t>
      </w:r>
      <w:r>
        <w:rPr>
          <w:rFonts w:hint="eastAsia" w:ascii="Times New Roman" w:hAnsi="Times New Roman" w:cs="Times New Roman"/>
          <w:bCs/>
          <w:sz w:val="24"/>
          <w:u w:val="single"/>
          <w:lang w:val="en-US" w:eastAsia="zh-CN"/>
        </w:rPr>
        <w:t>22</w:t>
      </w:r>
      <w:r>
        <w:rPr>
          <w:rFonts w:hint="default" w:ascii="Times New Roman" w:hAnsi="Times New Roman" w:cs="Times New Roman"/>
          <w:bCs/>
          <w:sz w:val="24"/>
          <w:u w:val="single"/>
        </w:rPr>
        <w:t>日</w:t>
      </w:r>
    </w:p>
    <w:p w14:paraId="3743A4D7">
      <w:pPr>
        <w:spacing w:line="520" w:lineRule="exact"/>
        <w:ind w:firstLine="480"/>
        <w:rPr>
          <w:rFonts w:hint="default" w:ascii="Times New Roman" w:hAnsi="Times New Roman" w:eastAsia="宋体" w:cs="Times New Roman"/>
          <w:bCs/>
          <w:sz w:val="24"/>
          <w:lang w:eastAsia="zh-CN"/>
        </w:rPr>
      </w:pPr>
      <w:r>
        <w:rPr>
          <w:rFonts w:hint="default" w:ascii="Times New Roman" w:hAnsi="Times New Roman" w:cs="Times New Roman"/>
          <w:bCs/>
          <w:sz w:val="24"/>
        </w:rPr>
        <w:t>地点：</w:t>
      </w:r>
      <w:r>
        <w:rPr>
          <w:rFonts w:hint="default" w:ascii="Times New Roman" w:hAnsi="Times New Roman" w:cs="Times New Roman"/>
          <w:bCs/>
          <w:sz w:val="24"/>
          <w:lang w:eastAsia="zh-CN"/>
        </w:rPr>
        <w:t>“江苏省体育局”门户网站</w:t>
      </w:r>
    </w:p>
    <w:p w14:paraId="7AB4FE92">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方式：在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自行下载。</w:t>
      </w:r>
    </w:p>
    <w:p w14:paraId="0893F855">
      <w:pPr>
        <w:spacing w:line="520" w:lineRule="exact"/>
        <w:ind w:firstLine="482"/>
        <w:rPr>
          <w:rFonts w:hint="default" w:ascii="Times New Roman" w:hAnsi="Times New Roman" w:cs="Times New Roman"/>
          <w:b/>
          <w:bCs/>
          <w:sz w:val="24"/>
        </w:rPr>
      </w:pPr>
      <w:bookmarkStart w:id="30" w:name="_Toc28359082"/>
      <w:bookmarkStart w:id="31" w:name="_Toc35393624"/>
      <w:bookmarkStart w:id="32" w:name="_Toc28359005"/>
      <w:bookmarkStart w:id="33" w:name="_Toc35393793"/>
      <w:r>
        <w:rPr>
          <w:rFonts w:hint="default" w:ascii="Times New Roman" w:hAnsi="Times New Roman" w:cs="Times New Roman"/>
          <w:b/>
          <w:bCs/>
          <w:sz w:val="24"/>
        </w:rPr>
        <w:t>四、提交</w:t>
      </w:r>
      <w:bookmarkEnd w:id="30"/>
      <w:bookmarkEnd w:id="31"/>
      <w:bookmarkEnd w:id="32"/>
      <w:bookmarkEnd w:id="33"/>
      <w:r>
        <w:rPr>
          <w:rFonts w:hint="default" w:ascii="Times New Roman" w:hAnsi="Times New Roman" w:cs="Times New Roman"/>
          <w:b/>
          <w:bCs/>
          <w:sz w:val="24"/>
        </w:rPr>
        <w:t>投标文件截止时间、开标时间和地点</w:t>
      </w:r>
    </w:p>
    <w:p w14:paraId="0DB8B31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1、投标文件接收截止时间、开标时间：2025年</w:t>
      </w:r>
      <w:r>
        <w:rPr>
          <w:rFonts w:hint="default" w:ascii="Times New Roman" w:hAnsi="Times New Roman" w:cs="Times New Roman"/>
          <w:bCs/>
          <w:sz w:val="24"/>
          <w:lang w:val="en-US" w:eastAsia="zh-CN"/>
        </w:rPr>
        <w:t xml:space="preserve"> </w:t>
      </w:r>
      <w:r>
        <w:rPr>
          <w:rFonts w:hint="eastAsia" w:ascii="Times New Roman" w:hAnsi="Times New Roman" w:cs="Times New Roman"/>
          <w:bCs/>
          <w:sz w:val="24"/>
          <w:lang w:val="en-US" w:eastAsia="zh-CN"/>
        </w:rPr>
        <w:t>12</w:t>
      </w:r>
      <w:r>
        <w:rPr>
          <w:rFonts w:hint="default" w:ascii="Times New Roman" w:hAnsi="Times New Roman" w:cs="Times New Roman"/>
          <w:bCs/>
          <w:sz w:val="24"/>
        </w:rPr>
        <w:t>月</w:t>
      </w:r>
      <w:r>
        <w:rPr>
          <w:rFonts w:hint="default" w:ascii="Times New Roman" w:hAnsi="Times New Roman" w:cs="Times New Roman"/>
          <w:bCs/>
          <w:sz w:val="24"/>
          <w:lang w:val="en-US" w:eastAsia="zh-CN"/>
        </w:rPr>
        <w:t xml:space="preserve"> </w:t>
      </w:r>
      <w:r>
        <w:rPr>
          <w:rFonts w:hint="eastAsia" w:ascii="Times New Roman" w:hAnsi="Times New Roman" w:cs="Times New Roman"/>
          <w:bCs/>
          <w:sz w:val="24"/>
          <w:lang w:val="en-US" w:eastAsia="zh-CN"/>
        </w:rPr>
        <w:t>23</w:t>
      </w:r>
      <w:r>
        <w:rPr>
          <w:rFonts w:hint="default" w:ascii="Times New Roman" w:hAnsi="Times New Roman" w:cs="Times New Roman"/>
          <w:bCs/>
          <w:sz w:val="24"/>
        </w:rPr>
        <w:t>日</w:t>
      </w:r>
      <w:r>
        <w:rPr>
          <w:rFonts w:hint="default" w:ascii="Times New Roman" w:hAnsi="Times New Roman" w:cs="Times New Roman"/>
          <w:bCs/>
          <w:sz w:val="24"/>
          <w:lang w:val="en-US" w:eastAsia="zh-CN"/>
        </w:rPr>
        <w:t>14</w:t>
      </w:r>
      <w:r>
        <w:rPr>
          <w:rFonts w:hint="default" w:ascii="Times New Roman" w:hAnsi="Times New Roman" w:cs="Times New Roman"/>
          <w:bCs/>
          <w:sz w:val="24"/>
        </w:rPr>
        <w:t>:</w:t>
      </w:r>
      <w:r>
        <w:rPr>
          <w:rFonts w:hint="default" w:ascii="Times New Roman" w:hAnsi="Times New Roman" w:cs="Times New Roman"/>
          <w:bCs/>
          <w:sz w:val="24"/>
          <w:lang w:val="en-US" w:eastAsia="zh-CN"/>
        </w:rPr>
        <w:t>0</w:t>
      </w:r>
      <w:r>
        <w:rPr>
          <w:rFonts w:hint="default" w:ascii="Times New Roman" w:hAnsi="Times New Roman" w:cs="Times New Roman"/>
          <w:bCs/>
          <w:sz w:val="24"/>
        </w:rPr>
        <w:t>0时</w:t>
      </w:r>
    </w:p>
    <w:p w14:paraId="73E60344">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2、投标文件接收地点、开标地点：南京市广州路191号五环大厦11楼开标室</w:t>
      </w:r>
    </w:p>
    <w:p w14:paraId="248F7B42">
      <w:pPr>
        <w:spacing w:line="520" w:lineRule="exact"/>
        <w:ind w:firstLine="482"/>
        <w:rPr>
          <w:rFonts w:hint="default" w:ascii="Times New Roman" w:hAnsi="Times New Roman" w:cs="Times New Roman"/>
          <w:b/>
          <w:bCs/>
          <w:sz w:val="24"/>
        </w:rPr>
      </w:pPr>
      <w:r>
        <w:rPr>
          <w:rFonts w:hint="default" w:ascii="Times New Roman" w:hAnsi="Times New Roman" w:cs="Times New Roman"/>
          <w:b/>
          <w:bCs/>
          <w:sz w:val="24"/>
        </w:rPr>
        <w:t>五、</w:t>
      </w:r>
      <w:bookmarkStart w:id="34" w:name="_Toc28359007"/>
      <w:bookmarkStart w:id="35" w:name="_Toc35393625"/>
      <w:bookmarkStart w:id="36" w:name="_Toc28359084"/>
      <w:bookmarkStart w:id="37" w:name="_Toc35393794"/>
      <w:r>
        <w:rPr>
          <w:rFonts w:hint="default" w:ascii="Times New Roman" w:hAnsi="Times New Roman" w:cs="Times New Roman"/>
          <w:b/>
          <w:bCs/>
          <w:sz w:val="24"/>
        </w:rPr>
        <w:t>公告期限</w:t>
      </w:r>
      <w:bookmarkEnd w:id="34"/>
      <w:bookmarkEnd w:id="35"/>
      <w:bookmarkEnd w:id="36"/>
      <w:bookmarkEnd w:id="37"/>
    </w:p>
    <w:p w14:paraId="55791D99">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自本公告发布之日起5个工作日。</w:t>
      </w:r>
    </w:p>
    <w:p w14:paraId="2FD9AD32">
      <w:pPr>
        <w:spacing w:line="520" w:lineRule="exact"/>
        <w:ind w:firstLine="482"/>
        <w:rPr>
          <w:rFonts w:hint="default" w:ascii="Times New Roman" w:hAnsi="Times New Roman" w:cs="Times New Roman"/>
          <w:b/>
          <w:bCs/>
          <w:sz w:val="24"/>
        </w:rPr>
      </w:pPr>
      <w:bookmarkStart w:id="38" w:name="_Toc35393626"/>
      <w:bookmarkStart w:id="39" w:name="_Toc35393795"/>
      <w:r>
        <w:rPr>
          <w:rFonts w:hint="default" w:ascii="Times New Roman" w:hAnsi="Times New Roman" w:cs="Times New Roman"/>
          <w:b/>
          <w:bCs/>
          <w:sz w:val="24"/>
        </w:rPr>
        <w:t>六、其他补充事宜</w:t>
      </w:r>
      <w:bookmarkEnd w:id="38"/>
      <w:bookmarkEnd w:id="39"/>
    </w:p>
    <w:p w14:paraId="578FE35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 xml:space="preserve">1. </w:t>
      </w:r>
      <w:r>
        <w:rPr>
          <w:rFonts w:hint="default" w:ascii="Times New Roman" w:hAnsi="Times New Roman" w:cs="Times New Roman"/>
          <w:b/>
          <w:bCs/>
          <w:sz w:val="24"/>
        </w:rPr>
        <w:t>潜在供应商对项目需求部分的询问、质疑请向采购人提出，由采购人负责答复。</w:t>
      </w:r>
    </w:p>
    <w:p w14:paraId="30A9BCB2">
      <w:pPr>
        <w:spacing w:line="520" w:lineRule="exact"/>
        <w:ind w:firstLine="480"/>
        <w:rPr>
          <w:rFonts w:hint="default" w:ascii="Times New Roman" w:hAnsi="Times New Roman" w:cs="Times New Roman"/>
          <w:sz w:val="24"/>
        </w:rPr>
      </w:pPr>
      <w:r>
        <w:rPr>
          <w:rFonts w:hint="default" w:ascii="Times New Roman" w:hAnsi="Times New Roman" w:cs="Times New Roman"/>
          <w:bCs/>
          <w:sz w:val="24"/>
        </w:rPr>
        <w:t xml:space="preserve">2. </w:t>
      </w:r>
      <w:r>
        <w:rPr>
          <w:rFonts w:hint="default" w:ascii="Times New Roman" w:hAnsi="Times New Roman" w:cs="Times New Roman"/>
          <w:sz w:val="24"/>
        </w:rPr>
        <w:t>投标文件制作份数要求：</w:t>
      </w:r>
    </w:p>
    <w:p w14:paraId="083E7040">
      <w:pPr>
        <w:spacing w:line="520" w:lineRule="exact"/>
        <w:ind w:firstLine="480"/>
        <w:rPr>
          <w:rFonts w:hint="default" w:ascii="Times New Roman" w:hAnsi="Times New Roman" w:cs="Times New Roman"/>
          <w:sz w:val="24"/>
          <w:highlight w:val="green"/>
        </w:rPr>
      </w:pPr>
      <w:r>
        <w:rPr>
          <w:rFonts w:hint="default" w:ascii="Times New Roman" w:hAnsi="Times New Roman" w:cs="Times New Roman"/>
          <w:sz w:val="24"/>
        </w:rPr>
        <w:t>2.1 纸质版投标文件正本份数：1份   </w:t>
      </w:r>
      <w:r>
        <w:rPr>
          <w:rFonts w:hint="default" w:ascii="Times New Roman" w:hAnsi="Times New Roman" w:cs="Times New Roman"/>
          <w:sz w:val="24"/>
          <w:highlight w:val="none"/>
        </w:rPr>
        <w:t>副本份数：</w:t>
      </w:r>
      <w:r>
        <w:rPr>
          <w:rFonts w:hint="default" w:ascii="Times New Roman" w:hAnsi="Times New Roman" w:cs="Times New Roman"/>
          <w:sz w:val="24"/>
          <w:highlight w:val="none"/>
          <w:lang w:val="en-US" w:eastAsia="zh-CN"/>
        </w:rPr>
        <w:t>4</w:t>
      </w:r>
      <w:r>
        <w:rPr>
          <w:rFonts w:hint="default" w:ascii="Times New Roman" w:hAnsi="Times New Roman" w:cs="Times New Roman"/>
          <w:sz w:val="24"/>
          <w:highlight w:val="none"/>
        </w:rPr>
        <w:t>份</w:t>
      </w:r>
    </w:p>
    <w:p w14:paraId="2B9BD47C">
      <w:pPr>
        <w:spacing w:line="520" w:lineRule="exact"/>
        <w:ind w:firstLine="480"/>
        <w:rPr>
          <w:rFonts w:hint="default" w:ascii="Times New Roman" w:hAnsi="Times New Roman" w:cs="Times New Roman"/>
          <w:sz w:val="24"/>
        </w:rPr>
      </w:pPr>
      <w:r>
        <w:rPr>
          <w:rFonts w:hint="default" w:ascii="Times New Roman" w:hAnsi="Times New Roman" w:cs="Times New Roman"/>
          <w:sz w:val="24"/>
        </w:rPr>
        <w:t>2.2 供应商另准备电子版投标文件1份，用于存档查阅（正本签字、盖章后扫描，一般应为PDF或JPG格式、U盘或光盘形式）。</w:t>
      </w:r>
    </w:p>
    <w:p w14:paraId="568544CC">
      <w:pPr>
        <w:spacing w:line="520" w:lineRule="exact"/>
        <w:ind w:firstLine="480"/>
        <w:rPr>
          <w:rFonts w:hint="default" w:ascii="Times New Roman" w:hAnsi="Times New Roman" w:cs="Times New Roman"/>
          <w:sz w:val="24"/>
        </w:rPr>
      </w:pPr>
      <w:r>
        <w:rPr>
          <w:rFonts w:hint="default" w:ascii="Times New Roman" w:hAnsi="Times New Roman" w:cs="Times New Roman"/>
          <w:sz w:val="24"/>
        </w:rPr>
        <w:t>3. 本项目不收取投标保证金</w:t>
      </w:r>
    </w:p>
    <w:p w14:paraId="43938BFC">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4. 有关本次公开招标的事项若存在变动或修改，敬请及时关注在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发布的信息更正公告。</w:t>
      </w:r>
    </w:p>
    <w:p w14:paraId="49C0974E">
      <w:pPr>
        <w:spacing w:line="520" w:lineRule="exact"/>
        <w:ind w:firstLine="482"/>
        <w:rPr>
          <w:rFonts w:hint="default" w:ascii="Times New Roman" w:hAnsi="Times New Roman" w:cs="Times New Roman"/>
          <w:b/>
          <w:bCs/>
          <w:sz w:val="24"/>
        </w:rPr>
      </w:pPr>
      <w:bookmarkStart w:id="40" w:name="_Toc28359085"/>
      <w:bookmarkStart w:id="41" w:name="_Toc28359008"/>
      <w:bookmarkStart w:id="42" w:name="_Toc35393796"/>
      <w:bookmarkStart w:id="43" w:name="_Toc35393627"/>
      <w:r>
        <w:rPr>
          <w:rFonts w:hint="default" w:ascii="Times New Roman" w:hAnsi="Times New Roman" w:cs="Times New Roman"/>
          <w:b/>
          <w:bCs/>
          <w:sz w:val="24"/>
        </w:rPr>
        <w:t>七、对本次招标提出询问，请按以下方式联系。</w:t>
      </w:r>
      <w:bookmarkEnd w:id="40"/>
      <w:bookmarkEnd w:id="41"/>
      <w:bookmarkEnd w:id="42"/>
      <w:bookmarkEnd w:id="43"/>
    </w:p>
    <w:p w14:paraId="0CDE2B13">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 采购人信息</w:t>
      </w:r>
    </w:p>
    <w:p w14:paraId="2D5CDD26">
      <w:pPr>
        <w:spacing w:line="520" w:lineRule="exact"/>
        <w:ind w:firstLine="480"/>
        <w:rPr>
          <w:rFonts w:hint="default" w:ascii="Times New Roman" w:hAnsi="Times New Roman" w:cs="Times New Roman"/>
          <w:bCs/>
          <w:sz w:val="24"/>
        </w:rPr>
      </w:pPr>
      <w:bookmarkStart w:id="44" w:name="_Toc28359009"/>
      <w:bookmarkStart w:id="45" w:name="_Toc28359086"/>
      <w:r>
        <w:rPr>
          <w:rFonts w:hint="default" w:ascii="Times New Roman" w:hAnsi="Times New Roman" w:cs="Times New Roman"/>
          <w:bCs/>
          <w:sz w:val="24"/>
        </w:rPr>
        <w:t>名 称：</w:t>
      </w:r>
      <w:r>
        <w:rPr>
          <w:rFonts w:hint="default" w:ascii="Times New Roman" w:hAnsi="Times New Roman" w:cs="Times New Roman"/>
          <w:sz w:val="24"/>
        </w:rPr>
        <w:t>江苏省方山体育训练基地</w:t>
      </w:r>
    </w:p>
    <w:p w14:paraId="7D81DFE0">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地址：南京市江宁科学园印湖路8号</w:t>
      </w:r>
    </w:p>
    <w:p w14:paraId="7C55EA34">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联系方式：潘高洁</w:t>
      </w:r>
      <w:r>
        <w:rPr>
          <w:rFonts w:hint="default" w:ascii="Times New Roman" w:hAnsi="Times New Roman" w:cs="Times New Roman"/>
          <w:bCs/>
          <w:sz w:val="24"/>
          <w:highlight w:val="none"/>
        </w:rPr>
        <w:t>025-5791950</w:t>
      </w:r>
      <w:r>
        <w:rPr>
          <w:rFonts w:hint="default" w:ascii="Times New Roman" w:hAnsi="Times New Roman" w:cs="Times New Roman"/>
          <w:bCs/>
          <w:sz w:val="24"/>
          <w:highlight w:val="none"/>
          <w:lang w:val="en-US" w:eastAsia="zh-CN"/>
        </w:rPr>
        <w:t>8</w:t>
      </w:r>
      <w:r>
        <w:rPr>
          <w:rFonts w:hint="default" w:ascii="Times New Roman" w:hAnsi="Times New Roman" w:cs="Times New Roman"/>
          <w:bCs/>
          <w:sz w:val="24"/>
        </w:rPr>
        <w:t xml:space="preserve"> </w:t>
      </w:r>
    </w:p>
    <w:p w14:paraId="1C609357">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 采购代理机构信息</w:t>
      </w:r>
      <w:bookmarkEnd w:id="44"/>
      <w:bookmarkEnd w:id="45"/>
    </w:p>
    <w:p w14:paraId="3140D422">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名    称：江苏省体育装备中心</w:t>
      </w:r>
    </w:p>
    <w:p w14:paraId="07B8C2E0">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地　  址：南京市广州路191号五环大厦12楼</w:t>
      </w:r>
    </w:p>
    <w:p w14:paraId="54140440">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联系方式：</w:t>
      </w:r>
      <w:bookmarkStart w:id="46" w:name="_Toc28359010"/>
      <w:bookmarkStart w:id="47" w:name="_Toc28359087"/>
      <w:r>
        <w:rPr>
          <w:rFonts w:hint="default" w:ascii="Times New Roman" w:hAnsi="Times New Roman" w:cs="Times New Roman"/>
          <w:bCs/>
          <w:sz w:val="24"/>
        </w:rPr>
        <w:t>025-51889545</w:t>
      </w:r>
    </w:p>
    <w:p w14:paraId="6F25B7FA">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3. 项目联系方式</w:t>
      </w:r>
      <w:bookmarkEnd w:id="46"/>
      <w:bookmarkEnd w:id="47"/>
    </w:p>
    <w:p w14:paraId="64EE7A89">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项目联系人：</w:t>
      </w:r>
      <w:r>
        <w:rPr>
          <w:rFonts w:hint="default" w:ascii="Times New Roman" w:hAnsi="Times New Roman" w:cs="Times New Roman"/>
          <w:bCs/>
          <w:sz w:val="24"/>
          <w:highlight w:val="none"/>
          <w:lang w:val="en-US" w:eastAsia="zh-CN"/>
        </w:rPr>
        <w:t>刘巍</w:t>
      </w:r>
      <w:r>
        <w:rPr>
          <w:rFonts w:hint="default" w:ascii="Times New Roman" w:hAnsi="Times New Roman" w:cs="Times New Roman"/>
          <w:bCs/>
          <w:sz w:val="24"/>
          <w:highlight w:val="none"/>
        </w:rPr>
        <w:t>、</w:t>
      </w:r>
      <w:r>
        <w:rPr>
          <w:rFonts w:hint="default" w:ascii="Times New Roman" w:hAnsi="Times New Roman" w:cs="Times New Roman"/>
          <w:bCs/>
          <w:sz w:val="24"/>
        </w:rPr>
        <w:t>田长山</w:t>
      </w:r>
    </w:p>
    <w:p w14:paraId="2666D396">
      <w:pPr>
        <w:spacing w:line="520" w:lineRule="exact"/>
        <w:ind w:firstLine="480"/>
        <w:rPr>
          <w:rFonts w:hint="default" w:ascii="Times New Roman" w:hAnsi="Times New Roman" w:cs="Times New Roman"/>
        </w:rPr>
      </w:pPr>
      <w:r>
        <w:rPr>
          <w:rFonts w:hint="default" w:ascii="Times New Roman" w:hAnsi="Times New Roman" w:cs="Times New Roman"/>
          <w:bCs/>
          <w:sz w:val="24"/>
        </w:rPr>
        <w:t>电    　话：025-5188960、51889549</w:t>
      </w:r>
    </w:p>
    <w:p w14:paraId="54CDDEF9">
      <w:pPr>
        <w:pStyle w:val="187"/>
        <w:rPr>
          <w:rFonts w:hint="default" w:ascii="Times New Roman" w:hAnsi="Times New Roman" w:eastAsia="黑体" w:cs="Times New Roman"/>
          <w:bCs/>
          <w:sz w:val="44"/>
        </w:rPr>
      </w:pPr>
      <w:r>
        <w:rPr>
          <w:rFonts w:hint="default" w:ascii="Times New Roman" w:hAnsi="Times New Roman" w:eastAsia="黑体" w:cs="Times New Roman"/>
          <w:bCs/>
          <w:sz w:val="44"/>
        </w:rPr>
        <w:br w:type="page" w:clear="all"/>
      </w:r>
      <w:bookmarkStart w:id="48" w:name="_Toc481072011"/>
      <w:bookmarkStart w:id="49" w:name="_Toc481071965"/>
      <w:bookmarkStart w:id="50" w:name="_Toc475009295"/>
      <w:bookmarkStart w:id="51" w:name="_Toc121905576"/>
      <w:bookmarkStart w:id="52" w:name="_Toc511899513"/>
      <w:r>
        <w:rPr>
          <w:rFonts w:hint="default" w:ascii="Times New Roman" w:hAnsi="Times New Roman" w:eastAsia="黑体" w:cs="Times New Roman"/>
          <w:bCs/>
          <w:sz w:val="44"/>
        </w:rPr>
        <w:t xml:space="preserve">第二章  </w:t>
      </w:r>
      <w:bookmarkEnd w:id="8"/>
      <w:bookmarkEnd w:id="9"/>
      <w:bookmarkEnd w:id="10"/>
      <w:bookmarkEnd w:id="11"/>
      <w:bookmarkEnd w:id="12"/>
      <w:bookmarkEnd w:id="18"/>
      <w:bookmarkEnd w:id="48"/>
      <w:bookmarkEnd w:id="49"/>
      <w:bookmarkEnd w:id="50"/>
      <w:r>
        <w:rPr>
          <w:rFonts w:hint="default" w:ascii="Times New Roman" w:hAnsi="Times New Roman" w:eastAsia="黑体" w:cs="Times New Roman"/>
          <w:bCs/>
          <w:sz w:val="44"/>
        </w:rPr>
        <w:t>供应商须知</w:t>
      </w:r>
      <w:bookmarkEnd w:id="51"/>
      <w:bookmarkEnd w:id="52"/>
    </w:p>
    <w:p w14:paraId="631A6890">
      <w:pPr>
        <w:pStyle w:val="190"/>
        <w:spacing w:before="0" w:after="0" w:line="538" w:lineRule="exact"/>
        <w:ind w:firstLine="482"/>
        <w:rPr>
          <w:rFonts w:hint="default" w:ascii="Times New Roman" w:hAnsi="Times New Roman" w:cs="Times New Roman"/>
        </w:rPr>
      </w:pPr>
      <w:bookmarkStart w:id="53" w:name="_Toc20823275"/>
      <w:bookmarkStart w:id="54" w:name="_Toc16938519"/>
      <w:bookmarkStart w:id="55" w:name="_Toc120614214"/>
      <w:bookmarkStart w:id="56" w:name="_Toc513029203"/>
      <w:bookmarkStart w:id="57" w:name="_Toc16938558"/>
      <w:bookmarkStart w:id="58" w:name="_Toc479757207"/>
      <w:bookmarkStart w:id="59" w:name="_Toc20823314"/>
      <w:bookmarkStart w:id="60" w:name="_Toc120614221"/>
      <w:bookmarkStart w:id="61" w:name="_Toc513029242"/>
      <w:r>
        <w:rPr>
          <w:rFonts w:hint="default" w:ascii="Times New Roman" w:hAnsi="Times New Roman" w:cs="Times New Roman"/>
        </w:rPr>
        <w:t>一、总则</w:t>
      </w:r>
      <w:bookmarkEnd w:id="53"/>
      <w:bookmarkEnd w:id="54"/>
      <w:bookmarkEnd w:id="55"/>
      <w:bookmarkEnd w:id="56"/>
    </w:p>
    <w:p w14:paraId="6425815C">
      <w:pPr>
        <w:pStyle w:val="191"/>
        <w:spacing w:before="0" w:after="0" w:line="538" w:lineRule="exact"/>
        <w:ind w:right="-44" w:firstLine="490"/>
        <w:rPr>
          <w:rFonts w:hint="default" w:ascii="Times New Roman" w:hAnsi="Times New Roman" w:cs="Times New Roman"/>
          <w:b w:val="0"/>
          <w:bCs w:val="0"/>
        </w:rPr>
      </w:pPr>
      <w:bookmarkStart w:id="62" w:name="_Hlt16619475"/>
      <w:bookmarkEnd w:id="62"/>
      <w:bookmarkStart w:id="63" w:name="_Toc16938520"/>
      <w:bookmarkStart w:id="64" w:name="_Toc458694821"/>
      <w:bookmarkStart w:id="65" w:name="_Toc513029204"/>
      <w:bookmarkStart w:id="66" w:name="_Toc20823276"/>
      <w:r>
        <w:rPr>
          <w:rFonts w:hint="default" w:ascii="Times New Roman" w:hAnsi="Times New Roman" w:cs="Times New Roman"/>
          <w:b w:val="0"/>
          <w:bCs w:val="0"/>
        </w:rPr>
        <w:t>1</w:t>
      </w:r>
      <w:bookmarkEnd w:id="63"/>
      <w:bookmarkEnd w:id="64"/>
      <w:bookmarkEnd w:id="65"/>
      <w:bookmarkEnd w:id="66"/>
      <w:r>
        <w:rPr>
          <w:rFonts w:hint="default" w:ascii="Times New Roman" w:hAnsi="Times New Roman" w:cs="Times New Roman"/>
          <w:b w:val="0"/>
          <w:bCs w:val="0"/>
        </w:rPr>
        <w:t>．适用范围</w:t>
      </w:r>
    </w:p>
    <w:p w14:paraId="5F01338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1.1本次项目采用公开招标采购方式，本招标文件仅适用于本次招标邀请中所述项目。</w:t>
      </w:r>
    </w:p>
    <w:p w14:paraId="1B646AEA">
      <w:pPr>
        <w:pStyle w:val="191"/>
        <w:spacing w:before="0" w:after="0" w:line="538" w:lineRule="exact"/>
        <w:ind w:right="-44" w:firstLine="490"/>
        <w:rPr>
          <w:rFonts w:hint="default" w:ascii="Times New Roman" w:hAnsi="Times New Roman" w:cs="Times New Roman"/>
          <w:b w:val="0"/>
          <w:bCs w:val="0"/>
        </w:rPr>
      </w:pPr>
      <w:bookmarkStart w:id="67" w:name="_Toc16938521"/>
      <w:bookmarkStart w:id="68" w:name="_Toc20823277"/>
      <w:bookmarkStart w:id="69" w:name="_Toc513029205"/>
      <w:r>
        <w:rPr>
          <w:rFonts w:hint="default" w:ascii="Times New Roman" w:hAnsi="Times New Roman" w:cs="Times New Roman"/>
          <w:b w:val="0"/>
          <w:bCs w:val="0"/>
        </w:rPr>
        <w:t>2．合格的供应商</w:t>
      </w:r>
      <w:bookmarkEnd w:id="67"/>
      <w:bookmarkEnd w:id="68"/>
      <w:bookmarkEnd w:id="69"/>
    </w:p>
    <w:p w14:paraId="1FA9B60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2.1第一部分招标邀请中供应商的资格要求；</w:t>
      </w:r>
    </w:p>
    <w:p w14:paraId="5F555B2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2.2凡有能力按照招标文件规定的要求交付产品及服务的供应商均为合格的供应商。</w:t>
      </w:r>
    </w:p>
    <w:p w14:paraId="30EEF7E6">
      <w:pPr>
        <w:pStyle w:val="191"/>
        <w:spacing w:before="0" w:after="0" w:line="538" w:lineRule="exact"/>
        <w:ind w:right="-44" w:firstLine="490"/>
        <w:rPr>
          <w:rFonts w:hint="default" w:ascii="Times New Roman" w:hAnsi="Times New Roman" w:cs="Times New Roman"/>
          <w:b w:val="0"/>
          <w:bCs w:val="0"/>
        </w:rPr>
      </w:pPr>
      <w:bookmarkStart w:id="70" w:name="_Toc16938522"/>
      <w:bookmarkStart w:id="71" w:name="_Toc513029206"/>
      <w:bookmarkStart w:id="72" w:name="_Toc20823278"/>
      <w:r>
        <w:rPr>
          <w:rFonts w:hint="default" w:ascii="Times New Roman" w:hAnsi="Times New Roman" w:cs="Times New Roman"/>
          <w:b w:val="0"/>
          <w:bCs w:val="0"/>
        </w:rPr>
        <w:t>3．适用法律</w:t>
      </w:r>
      <w:bookmarkEnd w:id="70"/>
      <w:bookmarkEnd w:id="71"/>
      <w:bookmarkEnd w:id="72"/>
    </w:p>
    <w:p w14:paraId="1F68B71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3.1本次招标及由本次招标产生的合同受中华人民共和国有关的法律法规制约和保护。</w:t>
      </w:r>
    </w:p>
    <w:p w14:paraId="6DB44DE0">
      <w:pPr>
        <w:pStyle w:val="191"/>
        <w:spacing w:before="0" w:after="0" w:line="538" w:lineRule="exact"/>
        <w:ind w:right="-44" w:firstLine="490"/>
        <w:rPr>
          <w:rFonts w:hint="default" w:ascii="Times New Roman" w:hAnsi="Times New Roman" w:cs="Times New Roman"/>
          <w:b w:val="0"/>
          <w:bCs w:val="0"/>
        </w:rPr>
      </w:pPr>
      <w:bookmarkStart w:id="73" w:name="_Toc462564067"/>
      <w:bookmarkStart w:id="74" w:name="_Toc20823279"/>
      <w:bookmarkStart w:id="75" w:name="_Toc513029207"/>
      <w:bookmarkStart w:id="76" w:name="_Toc16938523"/>
      <w:r>
        <w:rPr>
          <w:rFonts w:hint="default" w:ascii="Times New Roman" w:hAnsi="Times New Roman" w:cs="Times New Roman"/>
          <w:b w:val="0"/>
          <w:bCs w:val="0"/>
        </w:rPr>
        <w:t>4．投标费用</w:t>
      </w:r>
      <w:bookmarkEnd w:id="73"/>
      <w:bookmarkEnd w:id="74"/>
      <w:bookmarkEnd w:id="75"/>
      <w:bookmarkEnd w:id="76"/>
    </w:p>
    <w:p w14:paraId="5AD38B07">
      <w:pPr>
        <w:spacing w:line="538" w:lineRule="exact"/>
        <w:ind w:firstLine="489"/>
        <w:rPr>
          <w:rFonts w:hint="default" w:ascii="Times New Roman" w:hAnsi="Times New Roman" w:cs="Times New Roman"/>
          <w:bCs/>
          <w:sz w:val="24"/>
        </w:rPr>
      </w:pPr>
      <w:bookmarkStart w:id="77" w:name="_Toc20823281"/>
      <w:bookmarkStart w:id="78" w:name="_Toc16938525"/>
      <w:bookmarkStart w:id="79" w:name="_Toc513029209"/>
      <w:bookmarkStart w:id="80" w:name="_Toc120614215"/>
      <w:r>
        <w:rPr>
          <w:rFonts w:hint="default" w:ascii="Times New Roman" w:hAnsi="Times New Roman" w:cs="Times New Roman"/>
          <w:bCs/>
          <w:sz w:val="24"/>
        </w:rPr>
        <w:t>4.1供应商应自行承担所有与参加投标有关的费用，无论投标过程中的做法和结果如何，装备中心在任何情况下均无义务和责任承担这些费用。</w:t>
      </w:r>
    </w:p>
    <w:p w14:paraId="47AA00E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4.2本次招标装备中心和采购人不收取中标服务费。</w:t>
      </w:r>
    </w:p>
    <w:p w14:paraId="1309414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4.3装备中心对未中标者不予补偿。</w:t>
      </w:r>
    </w:p>
    <w:p w14:paraId="30261536">
      <w:pPr>
        <w:pStyle w:val="191"/>
        <w:spacing w:before="0" w:after="0" w:line="538" w:lineRule="exact"/>
        <w:ind w:right="-44" w:firstLine="490"/>
        <w:rPr>
          <w:rFonts w:hint="default" w:ascii="Times New Roman" w:hAnsi="Times New Roman" w:cs="Times New Roman"/>
          <w:b w:val="0"/>
          <w:bCs w:val="0"/>
        </w:rPr>
      </w:pPr>
      <w:r>
        <w:rPr>
          <w:rFonts w:hint="default" w:ascii="Times New Roman" w:hAnsi="Times New Roman" w:cs="Times New Roman"/>
          <w:b w:val="0"/>
          <w:bCs w:val="0"/>
        </w:rPr>
        <w:t>5．招标文件的约束力</w:t>
      </w:r>
    </w:p>
    <w:p w14:paraId="42BBDC6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5.1供应商一旦下载了本招标文件并决定参加投标，即被认为接受了本招标文件的规定和约束，并且视为自招标公告发布之日起已经知道或应当知道自身权益是否受到了损害。</w:t>
      </w:r>
    </w:p>
    <w:p w14:paraId="1EFD49C3">
      <w:pPr>
        <w:pStyle w:val="190"/>
        <w:spacing w:before="0" w:after="0" w:line="538" w:lineRule="exact"/>
        <w:ind w:firstLine="482"/>
        <w:rPr>
          <w:rFonts w:hint="default" w:ascii="Times New Roman" w:hAnsi="Times New Roman" w:cs="Times New Roman"/>
        </w:rPr>
      </w:pPr>
      <w:r>
        <w:rPr>
          <w:rFonts w:hint="default" w:ascii="Times New Roman" w:hAnsi="Times New Roman" w:cs="Times New Roman"/>
        </w:rPr>
        <w:t>二、招标文件</w:t>
      </w:r>
      <w:bookmarkEnd w:id="77"/>
      <w:bookmarkEnd w:id="78"/>
      <w:bookmarkEnd w:id="79"/>
      <w:bookmarkEnd w:id="80"/>
    </w:p>
    <w:p w14:paraId="185E3303">
      <w:pPr>
        <w:pStyle w:val="191"/>
        <w:spacing w:before="0" w:after="0" w:line="538" w:lineRule="exact"/>
        <w:ind w:right="-44" w:firstLine="490"/>
        <w:rPr>
          <w:rFonts w:hint="default" w:ascii="Times New Roman" w:hAnsi="Times New Roman" w:cs="Times New Roman"/>
          <w:b w:val="0"/>
          <w:bCs w:val="0"/>
        </w:rPr>
      </w:pPr>
      <w:bookmarkStart w:id="81" w:name="_Toc16938526"/>
      <w:bookmarkStart w:id="82" w:name="_Toc513029210"/>
      <w:bookmarkStart w:id="83" w:name="_Toc20823282"/>
      <w:r>
        <w:rPr>
          <w:rFonts w:hint="default" w:ascii="Times New Roman" w:hAnsi="Times New Roman" w:cs="Times New Roman"/>
          <w:b w:val="0"/>
          <w:bCs w:val="0"/>
        </w:rPr>
        <w:t>6．招标文件构成</w:t>
      </w:r>
      <w:bookmarkEnd w:id="81"/>
      <w:bookmarkEnd w:id="82"/>
      <w:bookmarkEnd w:id="83"/>
    </w:p>
    <w:p w14:paraId="08A7BD5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6.1招标文件由以下部分组成：</w:t>
      </w:r>
    </w:p>
    <w:p w14:paraId="695D191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6.1.1招标邀请</w:t>
      </w:r>
    </w:p>
    <w:p w14:paraId="1F6F939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6.1.2供应商须知</w:t>
      </w:r>
    </w:p>
    <w:p w14:paraId="147C671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6.1.3合同条款及格式</w:t>
      </w:r>
    </w:p>
    <w:p w14:paraId="08D2EC8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6.1.4项目需求</w:t>
      </w:r>
    </w:p>
    <w:p w14:paraId="2975662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6.1.5评标方法与评标标准</w:t>
      </w:r>
    </w:p>
    <w:p w14:paraId="6424252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6.1.6投标文件格式</w:t>
      </w:r>
    </w:p>
    <w:p w14:paraId="25C71B0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供应商应请仔细检查招标文件是否齐全，如有缺漏请立即与装备中心联系解决。</w:t>
      </w:r>
    </w:p>
    <w:p w14:paraId="503EC11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6.2供应商应认真阅读招标文件中所有的事项、格式、条款和规范等要求。按招标文件要求和规定编制投标文件，并保证所提供的全部资料的真实性、完整性及有效性，以使其投标文件对招标文件做出实质性响应，否则，其风险应由供应商自行承担。</w:t>
      </w:r>
    </w:p>
    <w:p w14:paraId="1C3CBD28">
      <w:pPr>
        <w:pStyle w:val="191"/>
        <w:spacing w:before="0" w:after="0" w:line="538" w:lineRule="exact"/>
        <w:ind w:right="-44" w:firstLine="490"/>
        <w:rPr>
          <w:rFonts w:hint="default" w:ascii="Times New Roman" w:hAnsi="Times New Roman" w:cs="Times New Roman"/>
          <w:b w:val="0"/>
          <w:bCs w:val="0"/>
        </w:rPr>
      </w:pPr>
      <w:bookmarkStart w:id="84" w:name="_Toc462564070"/>
      <w:bookmarkStart w:id="85" w:name="_Toc20823283"/>
      <w:bookmarkStart w:id="86" w:name="_Toc513029211"/>
      <w:bookmarkStart w:id="87" w:name="_Toc16938527"/>
      <w:r>
        <w:rPr>
          <w:rFonts w:hint="default" w:ascii="Times New Roman" w:hAnsi="Times New Roman" w:cs="Times New Roman"/>
          <w:b w:val="0"/>
          <w:bCs w:val="0"/>
        </w:rPr>
        <w:t>7．招标文件的澄清</w:t>
      </w:r>
      <w:bookmarkEnd w:id="84"/>
      <w:bookmarkEnd w:id="85"/>
      <w:bookmarkEnd w:id="86"/>
      <w:bookmarkEnd w:id="87"/>
    </w:p>
    <w:p w14:paraId="2E54DE5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7.1任何要求对招标文件进行澄清的供应商，均应在投标截止期十五日前按招标邀请中的通讯地址，以书面形式通知装备中心，澄清要求需加盖单位公章。装备中心将以书面形式予以答复（邮寄或传真）。由于供应商所留联系方式有问题而导致装备中心无法通知的其责任由供应商自行承担。（逾期递交对招标文件要求进行澄清的装备中心将不予受理）。</w:t>
      </w:r>
    </w:p>
    <w:p w14:paraId="6FF932C6">
      <w:pPr>
        <w:pStyle w:val="191"/>
        <w:spacing w:before="0" w:after="0" w:line="538" w:lineRule="exact"/>
        <w:ind w:right="-44" w:firstLine="490"/>
        <w:rPr>
          <w:rFonts w:hint="default" w:ascii="Times New Roman" w:hAnsi="Times New Roman" w:cs="Times New Roman"/>
          <w:b w:val="0"/>
          <w:bCs w:val="0"/>
        </w:rPr>
      </w:pPr>
      <w:bookmarkStart w:id="88" w:name="_Toc20823284"/>
      <w:bookmarkStart w:id="89" w:name="_Toc16938528"/>
      <w:bookmarkStart w:id="90" w:name="_Toc462564071"/>
      <w:bookmarkStart w:id="91" w:name="_Toc513029212"/>
      <w:r>
        <w:rPr>
          <w:rFonts w:hint="default" w:ascii="Times New Roman" w:hAnsi="Times New Roman" w:cs="Times New Roman"/>
          <w:b w:val="0"/>
          <w:bCs w:val="0"/>
        </w:rPr>
        <w:t>8．招标文件的修改</w:t>
      </w:r>
      <w:bookmarkEnd w:id="88"/>
      <w:bookmarkEnd w:id="89"/>
      <w:bookmarkEnd w:id="90"/>
      <w:bookmarkEnd w:id="91"/>
    </w:p>
    <w:p w14:paraId="20F4948A">
      <w:pPr>
        <w:spacing w:line="538" w:lineRule="exact"/>
        <w:ind w:firstLine="489"/>
        <w:rPr>
          <w:rFonts w:hint="default" w:ascii="Times New Roman" w:hAnsi="Times New Roman" w:cs="Times New Roman"/>
          <w:bCs/>
          <w:sz w:val="24"/>
        </w:rPr>
      </w:pPr>
      <w:bookmarkStart w:id="92" w:name="_Toc513029213"/>
      <w:bookmarkStart w:id="93" w:name="_Toc462564072"/>
      <w:bookmarkStart w:id="94" w:name="_Toc120614216"/>
      <w:bookmarkStart w:id="95" w:name="_Toc20823285"/>
      <w:bookmarkStart w:id="96" w:name="_Toc16938529"/>
      <w:r>
        <w:rPr>
          <w:rFonts w:hint="default" w:ascii="Times New Roman" w:hAnsi="Times New Roman" w:cs="Times New Roman"/>
          <w:bCs/>
          <w:sz w:val="24"/>
        </w:rPr>
        <w:t>8.1在投标截止时间前，装备中心均可以对招标文件进行修改。</w:t>
      </w:r>
    </w:p>
    <w:p w14:paraId="3048DC2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8.2装备中心有权按照法定的要求推迟投标截止日期和开标日期。</w:t>
      </w:r>
    </w:p>
    <w:p w14:paraId="748CC06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8.3招标文件的修改将在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公布，补充文件将作为招标文件的组成部分，并对供应商具有约束力。</w:t>
      </w:r>
    </w:p>
    <w:p w14:paraId="498A201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8.4如果装备中心前后发放的招标文件以及补充文件内容不一致或相互抵触，则以后发出的补充文件为准。</w:t>
      </w:r>
    </w:p>
    <w:p w14:paraId="4F2C2B38">
      <w:pPr>
        <w:pStyle w:val="190"/>
        <w:spacing w:before="0" w:after="0" w:line="538" w:lineRule="exact"/>
        <w:ind w:firstLine="482"/>
        <w:rPr>
          <w:rFonts w:hint="default" w:ascii="Times New Roman" w:hAnsi="Times New Roman" w:cs="Times New Roman"/>
        </w:rPr>
      </w:pPr>
      <w:r>
        <w:rPr>
          <w:rFonts w:hint="default" w:ascii="Times New Roman" w:hAnsi="Times New Roman" w:cs="Times New Roman"/>
        </w:rPr>
        <w:t>三、投标文件的编制</w:t>
      </w:r>
      <w:bookmarkEnd w:id="92"/>
      <w:bookmarkEnd w:id="93"/>
      <w:bookmarkEnd w:id="94"/>
      <w:bookmarkEnd w:id="95"/>
      <w:bookmarkEnd w:id="96"/>
    </w:p>
    <w:p w14:paraId="29DF8606">
      <w:pPr>
        <w:pStyle w:val="191"/>
        <w:spacing w:before="0" w:after="0" w:line="538" w:lineRule="exact"/>
        <w:ind w:right="-44" w:firstLine="490"/>
        <w:rPr>
          <w:rFonts w:hint="default" w:ascii="Times New Roman" w:hAnsi="Times New Roman" w:cs="Times New Roman"/>
          <w:b w:val="0"/>
          <w:bCs w:val="0"/>
        </w:rPr>
      </w:pPr>
      <w:bookmarkStart w:id="97" w:name="_Toc20823286"/>
      <w:bookmarkStart w:id="98" w:name="_Toc513029214"/>
      <w:bookmarkStart w:id="99" w:name="_Toc462564073"/>
      <w:bookmarkStart w:id="100" w:name="_Toc16938530"/>
      <w:r>
        <w:rPr>
          <w:rFonts w:hint="default" w:ascii="Times New Roman" w:hAnsi="Times New Roman" w:cs="Times New Roman"/>
          <w:b w:val="0"/>
          <w:bCs w:val="0"/>
        </w:rPr>
        <w:t>9．投标语言及度量衡单位</w:t>
      </w:r>
      <w:bookmarkEnd w:id="97"/>
      <w:bookmarkEnd w:id="98"/>
      <w:bookmarkEnd w:id="99"/>
      <w:bookmarkEnd w:id="100"/>
    </w:p>
    <w:p w14:paraId="736D036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9.1供应商提交的投标文件以及供应商与装备中心就有关投标的所有来往通知、函件和文件均应使用</w:t>
      </w:r>
      <w:r>
        <w:rPr>
          <w:rFonts w:hint="default" w:ascii="Times New Roman" w:hAnsi="Times New Roman" w:cs="Times New Roman"/>
          <w:b/>
          <w:bCs/>
          <w:sz w:val="24"/>
        </w:rPr>
        <w:t>简体中文</w:t>
      </w:r>
      <w:r>
        <w:rPr>
          <w:rFonts w:hint="default" w:ascii="Times New Roman" w:hAnsi="Times New Roman" w:cs="Times New Roman"/>
          <w:bCs/>
          <w:sz w:val="24"/>
        </w:rPr>
        <w:t>。</w:t>
      </w:r>
    </w:p>
    <w:p w14:paraId="16D5CE1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9.2除技术性能另有规定外，投标文件所使用的度量衡单位，均须采用国家法定计量单位。</w:t>
      </w:r>
    </w:p>
    <w:p w14:paraId="71AB194F">
      <w:pPr>
        <w:pStyle w:val="191"/>
        <w:spacing w:before="0" w:after="0" w:line="538" w:lineRule="exact"/>
        <w:ind w:right="-44" w:firstLine="490"/>
        <w:rPr>
          <w:rFonts w:hint="default" w:ascii="Times New Roman" w:hAnsi="Times New Roman" w:cs="Times New Roman"/>
          <w:b w:val="0"/>
          <w:bCs w:val="0"/>
        </w:rPr>
      </w:pPr>
      <w:bookmarkStart w:id="101" w:name="_Toc513029215"/>
      <w:bookmarkStart w:id="102" w:name="_Toc16938531"/>
      <w:bookmarkStart w:id="103" w:name="_Toc20823287"/>
      <w:bookmarkStart w:id="104" w:name="_Toc462564074"/>
      <w:r>
        <w:rPr>
          <w:rFonts w:hint="default" w:ascii="Times New Roman" w:hAnsi="Times New Roman" w:cs="Times New Roman"/>
          <w:b w:val="0"/>
          <w:bCs w:val="0"/>
        </w:rPr>
        <w:t>10．投标文件构成</w:t>
      </w:r>
      <w:bookmarkEnd w:id="101"/>
      <w:bookmarkEnd w:id="102"/>
      <w:bookmarkEnd w:id="103"/>
      <w:bookmarkEnd w:id="104"/>
    </w:p>
    <w:p w14:paraId="1B69B1D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10.1供应商编写的投标文件应包括资信证明文件、投标配置与分项报价表、供货一览表、技术要求响应偏离表、商务要求响应偏离表、技术及售后服务承诺书、投标函、开标一览表等部分。</w:t>
      </w:r>
    </w:p>
    <w:p w14:paraId="40EF113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10.2供应商应将投标文件按顺序装订成册，并编制投标文件资料目录。</w:t>
      </w:r>
    </w:p>
    <w:p w14:paraId="34F9F36A">
      <w:pPr>
        <w:pStyle w:val="191"/>
        <w:spacing w:before="0" w:after="0" w:line="538" w:lineRule="exact"/>
        <w:ind w:right="-44" w:firstLine="490"/>
        <w:rPr>
          <w:rFonts w:hint="default" w:ascii="Times New Roman" w:hAnsi="Times New Roman" w:cs="Times New Roman"/>
          <w:b w:val="0"/>
          <w:bCs w:val="0"/>
        </w:rPr>
      </w:pPr>
      <w:bookmarkStart w:id="105" w:name="_Toc49090509"/>
      <w:bookmarkStart w:id="106" w:name="_Toc513029219"/>
      <w:bookmarkStart w:id="107" w:name="_Toc14577357"/>
      <w:bookmarkStart w:id="108" w:name="_Toc14577354"/>
      <w:bookmarkStart w:id="109" w:name="_Toc513029216"/>
      <w:bookmarkStart w:id="110" w:name="_Toc49090507"/>
      <w:r>
        <w:rPr>
          <w:rFonts w:hint="default" w:ascii="Times New Roman" w:hAnsi="Times New Roman" w:cs="Times New Roman"/>
          <w:b w:val="0"/>
          <w:bCs w:val="0"/>
        </w:rPr>
        <w:t>11．证明供应商资格及符合招标文件规定的文件</w:t>
      </w:r>
      <w:bookmarkEnd w:id="105"/>
      <w:bookmarkEnd w:id="106"/>
      <w:bookmarkEnd w:id="107"/>
    </w:p>
    <w:p w14:paraId="36B6E3F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11.1供应商应按要求提交资格证明文件及符合招标文件规定的文件。</w:t>
      </w:r>
    </w:p>
    <w:p w14:paraId="055095A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11.2供应商应提交证明其有资格参加投标和中标后有能力独立履行合同的文件。</w:t>
      </w:r>
    </w:p>
    <w:p w14:paraId="62ABA29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11.3供应商除必须具有履行合同所需提供的货物以及服务的能力外，还必须具备相应的财务、技术方面的能力。</w:t>
      </w:r>
    </w:p>
    <w:p w14:paraId="20D99C5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11.4供应商应提交根据合同要求提供的证明产品质量合格以及符合招标文件规定的证明文件。</w:t>
      </w:r>
    </w:p>
    <w:p w14:paraId="53D265B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11.5证明供应商所提供货物与招标文件的要求相一致的文件可以是手册、图纸、文字资料和数据。</w:t>
      </w:r>
    </w:p>
    <w:bookmarkEnd w:id="108"/>
    <w:bookmarkEnd w:id="109"/>
    <w:bookmarkEnd w:id="110"/>
    <w:p w14:paraId="69A90D90">
      <w:pPr>
        <w:pStyle w:val="191"/>
        <w:spacing w:before="0" w:after="0" w:line="538" w:lineRule="exact"/>
        <w:ind w:right="-44" w:firstLine="490"/>
        <w:rPr>
          <w:rFonts w:hint="default" w:ascii="Times New Roman" w:hAnsi="Times New Roman" w:cs="Times New Roman"/>
          <w:b w:val="0"/>
          <w:bCs w:val="0"/>
        </w:rPr>
      </w:pPr>
      <w:bookmarkStart w:id="111" w:name="_Toc14577355"/>
      <w:bookmarkStart w:id="112" w:name="_Toc49090508"/>
      <w:r>
        <w:rPr>
          <w:rFonts w:hint="default" w:ascii="Times New Roman" w:hAnsi="Times New Roman" w:cs="Times New Roman"/>
          <w:b w:val="0"/>
          <w:bCs w:val="0"/>
        </w:rPr>
        <w:t>12．供货一览表和投标配置与分项报价</w:t>
      </w:r>
      <w:bookmarkEnd w:id="111"/>
      <w:r>
        <w:rPr>
          <w:rFonts w:hint="default" w:ascii="Times New Roman" w:hAnsi="Times New Roman" w:cs="Times New Roman"/>
          <w:b w:val="0"/>
          <w:bCs w:val="0"/>
        </w:rPr>
        <w:t>表</w:t>
      </w:r>
      <w:bookmarkEnd w:id="112"/>
    </w:p>
    <w:p w14:paraId="1B3BAE1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12.1 供应商应按照招标文件规定格式填报供货一览表、投标配置与分项报价表，在表中标明所提供的设备品牌、规格、型号、原产地、主要部件型号及其功能的中文说明和供货期。每项货物和服务等只允许有一个报价，任何有选择的报价将不予接受(如有备选配件，备选配件的报价不属于选择的报价)。</w:t>
      </w:r>
    </w:p>
    <w:p w14:paraId="18D5222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12.2 标的物</w:t>
      </w:r>
    </w:p>
    <w:p w14:paraId="1D91EED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采购人需求的货物供应、安装，调试及有关技术服务等。</w:t>
      </w:r>
    </w:p>
    <w:p w14:paraId="1824394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12.3有关费用处理</w:t>
      </w:r>
    </w:p>
    <w:p w14:paraId="7D1474A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招标报价采用总承包方式，供应商的报价应包括所投产品费用、安装调试费、测试验收费、培训费、运行维护费用、税金、国际国内运输保险、报关清关、开证、办理全套免税手续费用及其他有关的为完成本项目发生的所有费用，招标文件中另有规定的除外。</w:t>
      </w:r>
    </w:p>
    <w:p w14:paraId="461740E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12.4其它费用处理</w:t>
      </w:r>
    </w:p>
    <w:p w14:paraId="26F7F35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招标文件未列明，而供应商认为必需的费用也需列入报价。</w:t>
      </w:r>
    </w:p>
    <w:p w14:paraId="20EBF39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12.5投标货币</w:t>
      </w:r>
    </w:p>
    <w:p w14:paraId="16E5986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投标文件中的货物单价和总价无特殊规定的采用人民币报价，以元为单位标注。招标文件中另有规定的按规定执行。</w:t>
      </w:r>
    </w:p>
    <w:p w14:paraId="5FA6C66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12.6 投标配置与分项报价表上的价格应按下列方式分开填写：</w:t>
      </w:r>
    </w:p>
    <w:p w14:paraId="09FAEAD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12.6.1项目总价：包括买方需求的货物价格、质量保证费用、培训费用及售后服务费用，项目在指定地点、环境交付、安装、调试、验收所需费用和所有相关税金费用及为完成整个项目所产生的其它所有费用。</w:t>
      </w:r>
    </w:p>
    <w:p w14:paraId="5306567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12.6.2项目单价按投标配置及分项报价表中要求填报。</w:t>
      </w:r>
    </w:p>
    <w:p w14:paraId="56CD3CED">
      <w:pPr>
        <w:pStyle w:val="191"/>
        <w:spacing w:before="0" w:after="0" w:line="538" w:lineRule="exact"/>
        <w:ind w:right="-44" w:firstLine="490"/>
        <w:rPr>
          <w:rFonts w:hint="default" w:ascii="Times New Roman" w:hAnsi="Times New Roman" w:cs="Times New Roman"/>
          <w:b w:val="0"/>
          <w:bCs w:val="0"/>
        </w:rPr>
      </w:pPr>
      <w:r>
        <w:rPr>
          <w:rFonts w:hint="default" w:ascii="Times New Roman" w:hAnsi="Times New Roman" w:cs="Times New Roman"/>
          <w:b w:val="0"/>
          <w:bCs w:val="0"/>
        </w:rPr>
        <w:t>13．技术要求响应偏离表、商务要求响应偏离表及投标货物说明</w:t>
      </w:r>
    </w:p>
    <w:p w14:paraId="3D07289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13.1对招标文件中的技术与商务条款要求逐项做出响应或偏离，并说明原因；</w:t>
      </w:r>
    </w:p>
    <w:p w14:paraId="0E0AF84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13.2提供参加本项目类似案例简介；</w:t>
      </w:r>
    </w:p>
    <w:p w14:paraId="6A96714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13.3培训计划；</w:t>
      </w:r>
    </w:p>
    <w:p w14:paraId="4EC8A76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13.4详细阐述所投货物的主要组成部分、功能设计、实现思路及关键技术；</w:t>
      </w:r>
    </w:p>
    <w:p w14:paraId="2AC77D6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13.5供应商认为需要的其他技术文件或说明。</w:t>
      </w:r>
    </w:p>
    <w:p w14:paraId="7C2B75E1">
      <w:pPr>
        <w:pStyle w:val="191"/>
        <w:spacing w:before="0" w:after="0" w:line="538" w:lineRule="exact"/>
        <w:ind w:right="-44" w:firstLine="490"/>
        <w:rPr>
          <w:rFonts w:hint="default" w:ascii="Times New Roman" w:hAnsi="Times New Roman" w:cs="Times New Roman"/>
          <w:b w:val="0"/>
          <w:bCs w:val="0"/>
        </w:rPr>
      </w:pPr>
      <w:r>
        <w:rPr>
          <w:rFonts w:hint="default" w:ascii="Times New Roman" w:hAnsi="Times New Roman" w:cs="Times New Roman"/>
          <w:b w:val="0"/>
          <w:bCs w:val="0"/>
        </w:rPr>
        <w:t>14．服务承诺及售后服务机构、人员的情况介绍</w:t>
      </w:r>
    </w:p>
    <w:p w14:paraId="467FCB5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14.1供应商的服务承诺应按不低于招标文件中商务要求的标准。</w:t>
      </w:r>
    </w:p>
    <w:p w14:paraId="245B1DE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14.2提供供应商有关售后服务的管理制度、售后服务机构的分布情况、售后服务人员的数量、素质、技术水平及售后服务的反应能力。</w:t>
      </w:r>
    </w:p>
    <w:p w14:paraId="47987553">
      <w:pPr>
        <w:pStyle w:val="191"/>
        <w:spacing w:before="0" w:after="0" w:line="538" w:lineRule="exact"/>
        <w:ind w:right="-44" w:firstLine="490"/>
        <w:rPr>
          <w:rFonts w:hint="default" w:ascii="Times New Roman" w:hAnsi="Times New Roman" w:cs="Times New Roman"/>
          <w:b w:val="0"/>
          <w:bCs w:val="0"/>
        </w:rPr>
      </w:pPr>
      <w:r>
        <w:rPr>
          <w:rFonts w:hint="default" w:ascii="Times New Roman" w:hAnsi="Times New Roman" w:cs="Times New Roman"/>
          <w:b w:val="0"/>
          <w:bCs w:val="0"/>
        </w:rPr>
        <w:t>15．投标函和开标一览表</w:t>
      </w:r>
    </w:p>
    <w:p w14:paraId="3757882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15.1供应商应按照招标文件中提供的格式完整、正确填写投标函、开标一览表。</w:t>
      </w:r>
    </w:p>
    <w:p w14:paraId="7162F76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15.2开标一览表中的价格应与投标文件中投标配置与分项报价表中的价格一致，如不一致，不作为无效投标处理，但评标时按开标一览表中价格为准。</w:t>
      </w:r>
    </w:p>
    <w:p w14:paraId="0572A98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15.3</w:t>
      </w:r>
      <w:r>
        <w:rPr>
          <w:rFonts w:hint="default" w:ascii="Times New Roman" w:hAnsi="Times New Roman" w:cs="Times New Roman"/>
          <w:bCs/>
          <w:i/>
          <w:sz w:val="24"/>
          <w:u w:val="single"/>
        </w:rPr>
        <w:t>开标一览表是投标文件的必要文件，是投标文件的组成部分，另外单独密封一份在信封中，与投标文件同时递交，否则视为无效投标。</w:t>
      </w:r>
    </w:p>
    <w:p w14:paraId="5B3B38C8">
      <w:pPr>
        <w:spacing w:line="538" w:lineRule="exact"/>
        <w:ind w:firstLine="489"/>
        <w:rPr>
          <w:rFonts w:hint="default" w:ascii="Times New Roman" w:hAnsi="Times New Roman" w:cs="Times New Roman"/>
          <w:bCs/>
          <w:i/>
          <w:sz w:val="24"/>
          <w:u w:val="single"/>
        </w:rPr>
      </w:pPr>
      <w:r>
        <w:rPr>
          <w:rFonts w:hint="default" w:ascii="Times New Roman" w:hAnsi="Times New Roman" w:cs="Times New Roman"/>
          <w:bCs/>
          <w:sz w:val="24"/>
        </w:rPr>
        <w:t>15.4</w:t>
      </w:r>
      <w:r>
        <w:rPr>
          <w:rFonts w:hint="default" w:ascii="Times New Roman" w:hAnsi="Times New Roman" w:cs="Times New Roman"/>
          <w:bCs/>
          <w:i/>
          <w:sz w:val="24"/>
          <w:u w:val="single"/>
        </w:rPr>
        <w:t>开标一览表必须加盖供应商公章，并经法定代表人或授权代表签字。</w:t>
      </w:r>
    </w:p>
    <w:p w14:paraId="131C739E">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16．</w:t>
      </w:r>
      <w:bookmarkStart w:id="113" w:name="_Toc14577360"/>
      <w:bookmarkStart w:id="114" w:name="_Toc49090511"/>
      <w:r>
        <w:rPr>
          <w:rFonts w:hint="default" w:ascii="Times New Roman" w:hAnsi="Times New Roman" w:eastAsia="黑体" w:cs="Times New Roman"/>
          <w:sz w:val="28"/>
          <w:szCs w:val="28"/>
        </w:rPr>
        <w:t>投标有效期</w:t>
      </w:r>
      <w:bookmarkEnd w:id="113"/>
      <w:bookmarkEnd w:id="114"/>
    </w:p>
    <w:p w14:paraId="369A72F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16.1投标有效期为装备中心规定的开标之日后六十（60）天。投标有效期比规定短的将被视为非响应性投标而予以拒绝。</w:t>
      </w:r>
    </w:p>
    <w:p w14:paraId="17AEECF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16.2在特殊情况下，装备中心于原投标有效期满之前，可向供应商提出延长投标有效期的要求。这种要求与答复均应采用书面形式（如信件、传真等）。供应商可以拒绝装备中心的这一要求而放弃投标。同意延长投标有效期的供应商既不能要求也不允许修改其投标文件。</w:t>
      </w:r>
    </w:p>
    <w:p w14:paraId="5F86AA41">
      <w:pPr>
        <w:keepNext/>
        <w:keepLines/>
        <w:spacing w:line="538" w:lineRule="exact"/>
        <w:ind w:right="-44" w:firstLine="490"/>
        <w:outlineLvl w:val="3"/>
        <w:rPr>
          <w:rFonts w:hint="default" w:ascii="Times New Roman" w:hAnsi="Times New Roman" w:eastAsia="黑体" w:cs="Times New Roman"/>
          <w:sz w:val="28"/>
          <w:szCs w:val="28"/>
        </w:rPr>
      </w:pPr>
      <w:bookmarkStart w:id="115" w:name="_Hlt26954739"/>
      <w:bookmarkEnd w:id="115"/>
      <w:bookmarkStart w:id="116" w:name="_Hlt26954852"/>
      <w:bookmarkEnd w:id="116"/>
      <w:bookmarkStart w:id="117" w:name="_Toc14577361"/>
      <w:bookmarkStart w:id="118" w:name="_Toc49090512"/>
      <w:r>
        <w:rPr>
          <w:rFonts w:hint="default" w:ascii="Times New Roman" w:hAnsi="Times New Roman" w:eastAsia="黑体" w:cs="Times New Roman"/>
          <w:sz w:val="28"/>
          <w:szCs w:val="28"/>
        </w:rPr>
        <w:t>17．投标文件份数和签署</w:t>
      </w:r>
      <w:bookmarkEnd w:id="117"/>
      <w:bookmarkEnd w:id="118"/>
    </w:p>
    <w:p w14:paraId="0B5D44D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17.1 供应商应严格按照招标公告要求的份数准备标文件并装订成册（</w:t>
      </w:r>
      <w:r>
        <w:rPr>
          <w:rFonts w:hint="default" w:ascii="Times New Roman" w:hAnsi="Times New Roman" w:cs="Times New Roman"/>
          <w:b/>
          <w:bCs/>
          <w:sz w:val="24"/>
        </w:rPr>
        <w:t>建议双面打印、复印，装订采用软面、胶订形式</w:t>
      </w:r>
      <w:r>
        <w:rPr>
          <w:rFonts w:hint="default" w:ascii="Times New Roman" w:hAnsi="Times New Roman" w:cs="Times New Roman"/>
          <w:bCs/>
          <w:sz w:val="24"/>
        </w:rPr>
        <w:t>），每份投标文件须清楚地标明“正本”或“副本”字样。除招标文件另有规定外，正本和副本的内容必须完全一致，一旦正本和副本不符，以正本为准。</w:t>
      </w:r>
    </w:p>
    <w:p w14:paraId="5698838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17.2投标文件正本中，除</w:t>
      </w:r>
      <w:r>
        <w:rPr>
          <w:rFonts w:hint="default" w:ascii="Times New Roman" w:hAnsi="Times New Roman" w:cs="Times New Roman"/>
          <w:sz w:val="24"/>
          <w:szCs w:val="24"/>
        </w:rPr>
        <w:t>招标</w:t>
      </w:r>
      <w:r>
        <w:rPr>
          <w:rFonts w:hint="default" w:ascii="Times New Roman" w:hAnsi="Times New Roman" w:cs="Times New Roman"/>
          <w:bCs/>
          <w:sz w:val="24"/>
        </w:rPr>
        <w:t>文件规定的可提交复印件外，其他文件均须提交原件，文字材料需打印或用不褪色墨水书写。投标文件的正本须经法定代表人或授权代表签署和加盖供应商公章。本</w:t>
      </w:r>
      <w:r>
        <w:rPr>
          <w:rFonts w:hint="default" w:ascii="Times New Roman" w:hAnsi="Times New Roman" w:cs="Times New Roman"/>
          <w:sz w:val="24"/>
          <w:szCs w:val="24"/>
        </w:rPr>
        <w:t>招标</w:t>
      </w:r>
      <w:r>
        <w:rPr>
          <w:rFonts w:hint="default" w:ascii="Times New Roman" w:hAnsi="Times New Roman" w:cs="Times New Roman"/>
          <w:bCs/>
          <w:sz w:val="24"/>
        </w:rPr>
        <w:t>文件所表述（指定）的公章是指法定名称章，不包括合同专用章、业务专用章等印章。</w:t>
      </w:r>
    </w:p>
    <w:p w14:paraId="4E6DD3B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17.3全套投标文件应字迹清晰、内容齐全、无涂改、行间插字或增删。如有修改或增删，供应商必须在投标截止时间前以投标文件补充文件的形式送达装备中心，补充文件必须经供应商法定代表人或其正式授权的供应商代表签字，同时加盖供应商公章。</w:t>
      </w:r>
    </w:p>
    <w:p w14:paraId="5722301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17.4因投标文件印刷错误或不清楚、字迹潦草或表达不清所引起的不利后果由供应商自负。</w:t>
      </w:r>
    </w:p>
    <w:p w14:paraId="0C056E3B">
      <w:pPr>
        <w:keepNext/>
        <w:keepLines/>
        <w:spacing w:line="360" w:lineRule="auto"/>
        <w:ind w:firstLine="482"/>
        <w:outlineLvl w:val="2"/>
        <w:rPr>
          <w:rFonts w:hint="default" w:ascii="Times New Roman" w:hAnsi="Times New Roman" w:cs="Times New Roman"/>
          <w:b/>
          <w:bCs/>
          <w:sz w:val="32"/>
          <w:szCs w:val="32"/>
        </w:rPr>
      </w:pPr>
      <w:bookmarkStart w:id="119" w:name="_Toc20823296"/>
      <w:bookmarkStart w:id="120" w:name="_Toc513029224"/>
      <w:bookmarkStart w:id="121" w:name="_Toc16938540"/>
      <w:bookmarkStart w:id="122" w:name="_Toc120614217"/>
      <w:r>
        <w:rPr>
          <w:rFonts w:hint="default" w:ascii="Times New Roman" w:hAnsi="Times New Roman" w:cs="Times New Roman"/>
          <w:b/>
          <w:bCs/>
          <w:sz w:val="32"/>
          <w:szCs w:val="32"/>
        </w:rPr>
        <w:t>四、投标文件的递交</w:t>
      </w:r>
      <w:bookmarkEnd w:id="119"/>
      <w:bookmarkEnd w:id="120"/>
      <w:bookmarkEnd w:id="121"/>
      <w:bookmarkEnd w:id="122"/>
    </w:p>
    <w:p w14:paraId="04BCE9E5">
      <w:pPr>
        <w:keepNext/>
        <w:keepLines/>
        <w:spacing w:line="538" w:lineRule="exact"/>
        <w:ind w:right="-44" w:firstLine="490"/>
        <w:outlineLvl w:val="3"/>
        <w:rPr>
          <w:rFonts w:hint="default" w:ascii="Times New Roman" w:hAnsi="Times New Roman" w:eastAsia="黑体" w:cs="Times New Roman"/>
          <w:sz w:val="28"/>
          <w:szCs w:val="28"/>
        </w:rPr>
      </w:pPr>
      <w:bookmarkStart w:id="123" w:name="_Toc16938541"/>
      <w:bookmarkStart w:id="124" w:name="_Toc462564084"/>
      <w:bookmarkStart w:id="125" w:name="_Toc20823297"/>
      <w:bookmarkStart w:id="126" w:name="_Toc513029225"/>
      <w:r>
        <w:rPr>
          <w:rFonts w:hint="default" w:ascii="Times New Roman" w:hAnsi="Times New Roman" w:eastAsia="黑体" w:cs="Times New Roman"/>
          <w:sz w:val="28"/>
          <w:szCs w:val="28"/>
        </w:rPr>
        <w:t>18．投标文件的密封和标记</w:t>
      </w:r>
      <w:bookmarkEnd w:id="123"/>
      <w:bookmarkEnd w:id="124"/>
      <w:bookmarkEnd w:id="125"/>
      <w:bookmarkEnd w:id="126"/>
    </w:p>
    <w:p w14:paraId="390186A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18.1供应商应将投标文件正本和所有副本密封，密封口处须骑缝加盖供应商单位公章，公章须清晰可辨。不论供应商中标与否，投标文件均不退回。</w:t>
      </w:r>
    </w:p>
    <w:p w14:paraId="3292436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18.2 密封包装应：</w:t>
      </w:r>
    </w:p>
    <w:p w14:paraId="0078194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18.2.1注明供应商名称，如因标注不清而产生的后果由供应商自负。按招标公告中注明的地址送达；</w:t>
      </w:r>
    </w:p>
    <w:p w14:paraId="157612A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18.2.2注明投标项目名称、标书编号及包号。</w:t>
      </w:r>
    </w:p>
    <w:p w14:paraId="305CCC9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18.2.3未按要求密封和加写标记，装备中心对误投或过早启封概不负责。对由此造成提前开封的投标文件，装备中心将予以拒绝，作无效投标处理。</w:t>
      </w:r>
    </w:p>
    <w:p w14:paraId="7162DAD3">
      <w:pPr>
        <w:keepNext/>
        <w:keepLines/>
        <w:spacing w:line="538" w:lineRule="exact"/>
        <w:ind w:right="-44" w:firstLine="490"/>
        <w:outlineLvl w:val="3"/>
        <w:rPr>
          <w:rFonts w:hint="default" w:ascii="Times New Roman" w:hAnsi="Times New Roman" w:eastAsia="黑体" w:cs="Times New Roman"/>
          <w:sz w:val="28"/>
          <w:szCs w:val="28"/>
        </w:rPr>
      </w:pPr>
      <w:bookmarkStart w:id="127" w:name="_Toc513029226"/>
      <w:bookmarkStart w:id="128" w:name="_Toc16938542"/>
      <w:bookmarkStart w:id="129" w:name="_Toc20823298"/>
      <w:r>
        <w:rPr>
          <w:rFonts w:hint="default" w:ascii="Times New Roman" w:hAnsi="Times New Roman" w:eastAsia="黑体" w:cs="Times New Roman"/>
          <w:sz w:val="28"/>
          <w:szCs w:val="28"/>
        </w:rPr>
        <w:t>19</w:t>
      </w:r>
      <w:bookmarkStart w:id="130" w:name="OLE_LINK4"/>
      <w:r>
        <w:rPr>
          <w:rFonts w:hint="default" w:ascii="Times New Roman" w:hAnsi="Times New Roman" w:eastAsia="黑体" w:cs="Times New Roman"/>
          <w:sz w:val="28"/>
          <w:szCs w:val="28"/>
        </w:rPr>
        <w:t>．投标截止日期</w:t>
      </w:r>
      <w:bookmarkEnd w:id="127"/>
      <w:bookmarkEnd w:id="128"/>
      <w:bookmarkEnd w:id="129"/>
    </w:p>
    <w:p w14:paraId="589BAA8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19.1 装备中心收到投标文件的时间不得迟于招标公告中</w:t>
      </w:r>
      <w:bookmarkEnd w:id="130"/>
      <w:r>
        <w:rPr>
          <w:rFonts w:hint="default" w:ascii="Times New Roman" w:hAnsi="Times New Roman" w:cs="Times New Roman"/>
          <w:bCs/>
          <w:sz w:val="24"/>
        </w:rPr>
        <w:t>规定的截止时间。</w:t>
      </w:r>
    </w:p>
    <w:p w14:paraId="7051AE7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19.2 装备中心可以按照规定，通过修改招标文件有权酌情延长投标截止日期，在此情况下，供应商的所有权利和义务以及供应商受制的截止日期均应以延长后新的截止日期为准。</w:t>
      </w:r>
    </w:p>
    <w:p w14:paraId="6B7A6D8A">
      <w:pPr>
        <w:keepNext/>
        <w:keepLines/>
        <w:spacing w:line="538" w:lineRule="exact"/>
        <w:ind w:right="-44" w:firstLine="490"/>
        <w:outlineLvl w:val="3"/>
        <w:rPr>
          <w:rFonts w:hint="default" w:ascii="Times New Roman" w:hAnsi="Times New Roman" w:eastAsia="黑体" w:cs="Times New Roman"/>
          <w:sz w:val="28"/>
          <w:szCs w:val="28"/>
        </w:rPr>
      </w:pPr>
      <w:bookmarkStart w:id="131" w:name="_Toc513029227"/>
      <w:bookmarkStart w:id="132" w:name="_Toc16938543"/>
      <w:bookmarkStart w:id="133" w:name="_Toc20823299"/>
      <w:r>
        <w:rPr>
          <w:rFonts w:hint="default" w:ascii="Times New Roman" w:hAnsi="Times New Roman" w:eastAsia="黑体" w:cs="Times New Roman"/>
          <w:sz w:val="28"/>
          <w:szCs w:val="28"/>
        </w:rPr>
        <w:t>20．</w:t>
      </w:r>
      <w:bookmarkEnd w:id="131"/>
      <w:bookmarkEnd w:id="132"/>
      <w:bookmarkEnd w:id="133"/>
      <w:r>
        <w:rPr>
          <w:rFonts w:hint="default" w:ascii="Times New Roman" w:hAnsi="Times New Roman" w:eastAsia="黑体" w:cs="Times New Roman"/>
          <w:sz w:val="28"/>
          <w:szCs w:val="28"/>
        </w:rPr>
        <w:t>投标文件的递交</w:t>
      </w:r>
    </w:p>
    <w:p w14:paraId="187A9770">
      <w:pPr>
        <w:spacing w:line="538" w:lineRule="exact"/>
        <w:ind w:firstLine="489"/>
        <w:rPr>
          <w:rFonts w:hint="default" w:ascii="Times New Roman" w:hAnsi="Times New Roman" w:cs="Times New Roman"/>
          <w:bCs/>
          <w:color w:val="FF0000"/>
          <w:sz w:val="24"/>
        </w:rPr>
      </w:pPr>
      <w:r>
        <w:rPr>
          <w:rFonts w:hint="default" w:ascii="Times New Roman" w:hAnsi="Times New Roman" w:cs="Times New Roman"/>
          <w:bCs/>
          <w:sz w:val="24"/>
        </w:rPr>
        <w:t>20.1装备中心拒绝接收在其规定的投标文件接收截止时间后递交的任何投标文件。</w:t>
      </w:r>
    </w:p>
    <w:p w14:paraId="4454B431">
      <w:pPr>
        <w:keepNext/>
        <w:keepLines/>
        <w:spacing w:line="538" w:lineRule="exact"/>
        <w:ind w:right="-44" w:firstLine="490"/>
        <w:outlineLvl w:val="3"/>
        <w:rPr>
          <w:rFonts w:hint="default" w:ascii="Times New Roman" w:hAnsi="Times New Roman" w:eastAsia="黑体" w:cs="Times New Roman"/>
          <w:sz w:val="28"/>
          <w:szCs w:val="28"/>
        </w:rPr>
      </w:pPr>
      <w:bookmarkStart w:id="134" w:name="_Toc16938544"/>
      <w:bookmarkStart w:id="135" w:name="_Toc20823300"/>
      <w:bookmarkStart w:id="136" w:name="_Toc513029228"/>
      <w:r>
        <w:rPr>
          <w:rFonts w:hint="default" w:ascii="Times New Roman" w:hAnsi="Times New Roman" w:eastAsia="黑体" w:cs="Times New Roman"/>
          <w:sz w:val="28"/>
          <w:szCs w:val="28"/>
        </w:rPr>
        <w:t>21．投标文件的修改和撤回</w:t>
      </w:r>
      <w:bookmarkEnd w:id="134"/>
      <w:bookmarkEnd w:id="135"/>
      <w:bookmarkEnd w:id="136"/>
    </w:p>
    <w:p w14:paraId="3187407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21.1 供应商在递交投标文件后，可以修改或撤回其投标文件，但这种修改和撤回，必须在规定的投标截止日期前，以书面形式通知装备中心，修改或撤回其投标文件。</w:t>
      </w:r>
    </w:p>
    <w:p w14:paraId="3612819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21.2 供应商的修改或撤回文件应按规定进行编制、密封、标记和发送，并应在封套上加注“修改”和“撤回”字样。上述补充或修改若涉及投标报价，必须注明“最后唯一报价”字样，否则将视为有选择的报价。修改文件必须在投标截止时间前送达装备中心。</w:t>
      </w:r>
    </w:p>
    <w:p w14:paraId="5F32F39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21.3 在投标截止期之后，供应商不得对其投标文件作任何修改。</w:t>
      </w:r>
    </w:p>
    <w:p w14:paraId="65404EB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21.4 在投标截止期至装备中心在招标文件中规定的投标有效期满之间的这段时间内，供应商不得撤回其投标。</w:t>
      </w:r>
    </w:p>
    <w:p w14:paraId="3FADECD2">
      <w:pPr>
        <w:keepNext/>
        <w:keepLines/>
        <w:spacing w:line="360" w:lineRule="auto"/>
        <w:ind w:firstLine="482"/>
        <w:outlineLvl w:val="2"/>
        <w:rPr>
          <w:rFonts w:hint="default" w:ascii="Times New Roman" w:hAnsi="Times New Roman" w:cs="Times New Roman"/>
          <w:b/>
          <w:bCs/>
          <w:sz w:val="32"/>
          <w:szCs w:val="32"/>
        </w:rPr>
      </w:pPr>
      <w:bookmarkStart w:id="137" w:name="_Toc16938545"/>
      <w:bookmarkStart w:id="138" w:name="_Toc20823301"/>
      <w:bookmarkStart w:id="139" w:name="_Toc513029229"/>
      <w:bookmarkStart w:id="140" w:name="_Toc120614218"/>
      <w:r>
        <w:rPr>
          <w:rFonts w:hint="default" w:ascii="Times New Roman" w:hAnsi="Times New Roman" w:cs="Times New Roman"/>
          <w:b/>
          <w:bCs/>
          <w:sz w:val="32"/>
          <w:szCs w:val="32"/>
        </w:rPr>
        <w:t>五、开标与评标</w:t>
      </w:r>
      <w:bookmarkEnd w:id="137"/>
      <w:bookmarkEnd w:id="138"/>
      <w:bookmarkEnd w:id="139"/>
      <w:bookmarkEnd w:id="140"/>
    </w:p>
    <w:p w14:paraId="045A3B21">
      <w:pPr>
        <w:keepNext/>
        <w:keepLines/>
        <w:spacing w:line="538" w:lineRule="exact"/>
        <w:ind w:right="-44" w:firstLine="490"/>
        <w:outlineLvl w:val="3"/>
        <w:rPr>
          <w:rFonts w:hint="default" w:ascii="Times New Roman" w:hAnsi="Times New Roman" w:eastAsia="黑体" w:cs="Times New Roman"/>
          <w:sz w:val="28"/>
          <w:szCs w:val="28"/>
        </w:rPr>
      </w:pPr>
      <w:bookmarkStart w:id="141" w:name="_Toc16938546"/>
      <w:bookmarkStart w:id="142" w:name="_Toc513029230"/>
      <w:bookmarkStart w:id="143" w:name="_Toc20823302"/>
      <w:r>
        <w:rPr>
          <w:rFonts w:hint="default" w:ascii="Times New Roman" w:hAnsi="Times New Roman" w:eastAsia="黑体" w:cs="Times New Roman"/>
          <w:sz w:val="28"/>
          <w:szCs w:val="28"/>
        </w:rPr>
        <w:t>22．开标</w:t>
      </w:r>
      <w:bookmarkEnd w:id="141"/>
      <w:bookmarkEnd w:id="142"/>
      <w:bookmarkEnd w:id="143"/>
    </w:p>
    <w:p w14:paraId="03AD5EF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22.1装备中心将在招标公告中规定的时间和地点对所有按时递交并已签收的投标文件公开开标。投标人的法定代表人或其授权代表应携带法定代表人证书或授权委托书和本人的身份证原件与复印件各1份准时到场，并签名报到以证明其出席开标会。参加开标会的投标人代表不得超过2人。</w:t>
      </w:r>
    </w:p>
    <w:p w14:paraId="65D779C7">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22.2投标人必须在投标文件递交截止时间前办理完毕递交投标文件以及其它招标文件所规定的应在投标截止时间前完成的事项（如样品递交等）。</w:t>
      </w:r>
    </w:p>
    <w:p w14:paraId="7A32B8D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22.3按照规定，同意撤回的投标将不予开封。</w:t>
      </w:r>
    </w:p>
    <w:p w14:paraId="2E9FBCB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22.4开标时装备中心现场检查投标文件的密封情况，确认无误后，当众拆封宣读每份投标文件中“开标一览表”内容，未列入开标一览表的内容一律不在开标时宣读。投标人开标一览表中若有报价未被唱出，应在开标时声明或提请注意，否则装备中心对此不承担任何责任。</w:t>
      </w:r>
    </w:p>
    <w:p w14:paraId="11367AE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22.5装备中心将做开标记录并存档备查，各投标人需仔细核对开标记录相关内容并确认。</w:t>
      </w:r>
    </w:p>
    <w:p w14:paraId="3393B31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22.6供应商在报价时不允许采用选择性报价，否则将被视为无效投标。</w:t>
      </w:r>
    </w:p>
    <w:p w14:paraId="2178C734">
      <w:pPr>
        <w:keepNext/>
        <w:keepLines/>
        <w:spacing w:line="538" w:lineRule="exact"/>
        <w:ind w:right="-44" w:firstLine="490"/>
        <w:outlineLvl w:val="3"/>
        <w:rPr>
          <w:rFonts w:hint="default" w:ascii="Times New Roman" w:hAnsi="Times New Roman" w:eastAsia="黑体" w:cs="Times New Roman"/>
          <w:sz w:val="28"/>
          <w:szCs w:val="28"/>
        </w:rPr>
      </w:pPr>
      <w:bookmarkStart w:id="144" w:name="_Toc20823303"/>
      <w:bookmarkStart w:id="145" w:name="_Toc16938547"/>
      <w:bookmarkStart w:id="146" w:name="_Toc513029231"/>
      <w:r>
        <w:rPr>
          <w:rFonts w:hint="default" w:ascii="Times New Roman" w:hAnsi="Times New Roman" w:eastAsia="黑体" w:cs="Times New Roman"/>
          <w:sz w:val="28"/>
          <w:szCs w:val="28"/>
        </w:rPr>
        <w:t>23．评标委员会</w:t>
      </w:r>
    </w:p>
    <w:p w14:paraId="5D55CBA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23.1开标后，装备中心将立即组织评标委员会（以下简称评委会）进行评标。</w:t>
      </w:r>
    </w:p>
    <w:p w14:paraId="3B095FD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23.2 评委会由采购人代表和行业专家组成，且人员构成符合政府采购有关规定。</w:t>
      </w:r>
    </w:p>
    <w:p w14:paraId="4EF2D1A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23.3评委会应以科学、公正的态度参加评审工作并确定中标候选人。评委会在评标过程中不受任何干扰，独立、负责地提出评审意见，并对自己的评审意见承担责任。</w:t>
      </w:r>
    </w:p>
    <w:p w14:paraId="6624CF27">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24．评标过程的保密与公正</w:t>
      </w:r>
    </w:p>
    <w:bookmarkEnd w:id="144"/>
    <w:bookmarkEnd w:id="145"/>
    <w:bookmarkEnd w:id="146"/>
    <w:p w14:paraId="134E84B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24.1公开开标后，直至向中标的供应商授予合同时止，凡是与审查、澄清、评价和比较投标的有关资料以及确定中标等相关信息，相关当事人均不得向供应商或与评标无关的其他人员透露。</w:t>
      </w:r>
    </w:p>
    <w:p w14:paraId="10E078E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24.2供应商试图影响评标或授予合同方面的任何尝试，可能导致该供应商的投标资格被取消。</w:t>
      </w:r>
    </w:p>
    <w:p w14:paraId="7784D11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24.3在评标期间，装备中心将设专门人员与供应商联系。</w:t>
      </w:r>
    </w:p>
    <w:p w14:paraId="1DC250B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24.4装备中心和评委会不得向落标的供应商解释未中标原因，也不公布评标过程中的相关细节。</w:t>
      </w:r>
    </w:p>
    <w:p w14:paraId="6230FEE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24.5评委会名单在开标前确定，并在评标结果确定前保密。</w:t>
      </w:r>
    </w:p>
    <w:p w14:paraId="01EEDAA6">
      <w:pPr>
        <w:keepNext/>
        <w:keepLines/>
        <w:spacing w:line="538" w:lineRule="exact"/>
        <w:ind w:right="-44" w:firstLine="490"/>
        <w:outlineLvl w:val="3"/>
        <w:rPr>
          <w:rFonts w:hint="default" w:ascii="Times New Roman" w:hAnsi="Times New Roman" w:eastAsia="黑体" w:cs="Times New Roman"/>
          <w:sz w:val="28"/>
          <w:szCs w:val="28"/>
        </w:rPr>
      </w:pPr>
      <w:bookmarkStart w:id="147" w:name="_Toc16938548"/>
      <w:bookmarkStart w:id="148" w:name="_Toc20823304"/>
      <w:bookmarkStart w:id="149" w:name="_Toc513029232"/>
      <w:r>
        <w:rPr>
          <w:rFonts w:hint="default" w:ascii="Times New Roman" w:hAnsi="Times New Roman" w:eastAsia="黑体" w:cs="Times New Roman"/>
          <w:sz w:val="28"/>
          <w:szCs w:val="28"/>
        </w:rPr>
        <w:t>25．投标文件的澄清</w:t>
      </w:r>
      <w:bookmarkEnd w:id="147"/>
      <w:bookmarkEnd w:id="148"/>
      <w:bookmarkEnd w:id="149"/>
    </w:p>
    <w:p w14:paraId="24C1027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25.1在评标期间，对投标文件中含义不明确、同类问题表述不一致或者有明显文字和计算错误的内容，评委会有权以书面形式要求投标人对其投标文件进行澄清，但并非对每个投标人都作澄清要求。</w:t>
      </w:r>
    </w:p>
    <w:p w14:paraId="58192CC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25.2接到评委会澄清要求的投标人必须按照评委会通知的地点和时间做出书面澄清，该澄清须由投标人法人或其授权的投标人代表的签字认可，将作为投标文件内容的补充部分。澄清、说明或者补正不得超出投标文件的范围或者改变投标的价格和投标文件的实质性内容。投标人拒不按照要求对投标文件进行澄清的，评委会可拒绝该投标文件。</w:t>
      </w:r>
    </w:p>
    <w:p w14:paraId="7B5B86B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25.3评委会、装备中心不接受供应商主动提出的对投标文件的澄清。</w:t>
      </w:r>
    </w:p>
    <w:p w14:paraId="1D8C0F16">
      <w:pPr>
        <w:spacing w:line="538" w:lineRule="exact"/>
        <w:ind w:firstLine="489"/>
        <w:rPr>
          <w:rFonts w:hint="default" w:ascii="Times New Roman" w:hAnsi="Times New Roman" w:cs="Times New Roman"/>
          <w:bCs/>
          <w:sz w:val="24"/>
        </w:rPr>
      </w:pPr>
      <w:bookmarkStart w:id="150" w:name="_Toc513029233"/>
      <w:bookmarkStart w:id="151" w:name="_Toc16938549"/>
      <w:bookmarkStart w:id="152" w:name="_Toc20823305"/>
      <w:r>
        <w:rPr>
          <w:rFonts w:hint="default" w:ascii="Times New Roman" w:hAnsi="Times New Roman" w:cs="Times New Roman"/>
          <w:bCs/>
          <w:sz w:val="24"/>
        </w:rPr>
        <w:t>25.4 接到评委会澄清要求的供应商如未按规定做出澄清，其风险由供应商自行承担。</w:t>
      </w:r>
    </w:p>
    <w:p w14:paraId="29B5585E">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26．对投标文件的初审</w:t>
      </w:r>
      <w:bookmarkEnd w:id="150"/>
      <w:bookmarkEnd w:id="151"/>
      <w:bookmarkEnd w:id="152"/>
    </w:p>
    <w:p w14:paraId="0BE4816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26.1投标文件初审分为资格性检查和符合性检查。</w:t>
      </w:r>
    </w:p>
    <w:p w14:paraId="7B7420A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26.1.1资格性检查：依据法律法规和招标文件的规定，由采购人对投标文件中的资格证明文件进行审查，以确定投标供应商是否具备投标资格。</w:t>
      </w:r>
    </w:p>
    <w:p w14:paraId="3F9D401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在进行资格性审查的同时，装备中心将在“信用中国”、“中国政府采购网”对供应商是否被列入失信被执行人、重大税收违法案件当事人名单、政府采购严重失信行为记录名单</w:t>
      </w:r>
      <w:r>
        <w:rPr>
          <w:rFonts w:hint="default" w:ascii="Times New Roman" w:hAnsi="Times New Roman" w:cs="Times New Roman"/>
          <w:sz w:val="24"/>
          <w:szCs w:val="24"/>
        </w:rPr>
        <w:t>及不符合《中华人民共和国政府采购法》第二十二条规定条件的情形</w:t>
      </w:r>
      <w:r>
        <w:rPr>
          <w:rFonts w:hint="default" w:ascii="Times New Roman" w:hAnsi="Times New Roman" w:cs="Times New Roman"/>
          <w:bCs/>
          <w:sz w:val="24"/>
        </w:rPr>
        <w:t>进行查询，以确定供应商是否具备投标资格。查询结果将以网页打印的形式留存并归档。</w:t>
      </w:r>
    </w:p>
    <w:p w14:paraId="0BFB5E3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接受联合体的项目，两个以上的自然人、法人或者其他组织组成一个联合体，以一个供应商的身份共同参加政府采购活动的，联合体成员存在不良信用记录的，视同联合体存在不良应用记录。</w:t>
      </w:r>
    </w:p>
    <w:p w14:paraId="6E1922CF">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26.1.2符合性检查：依据招标文件的规定，由评委会从投标文件的有效性、完整性和对招标文件的响应程度进行审查，以确定是否对招标文件的实质性要求做出响应。</w:t>
      </w:r>
    </w:p>
    <w:p w14:paraId="2E5F329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26.1.3未通过资格审查或符合性审查的供应商，将在评标现场向其授权代表告知未通过资格审查或符合性审查的原因，评审结束后，将不再告知未通过资格审查或符合性审查的原因。</w:t>
      </w:r>
    </w:p>
    <w:p w14:paraId="5CFC70A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26.2在详细评标之前，评委会将首先审查每份投标文件是否实质性响应了招标文件的要求。实质性响应的投标应该是与招标文件要求的全部条款、条件和规格相符，没有重大偏离或保留的投标。</w:t>
      </w:r>
    </w:p>
    <w:p w14:paraId="73F15B4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所谓重大偏离或保留是指与招标文件规定的实质性要求存在负偏离，或者在实质上与招标文件不一致，而且限制了合同中买方和见证方的权利或供应商的义务，纠正这些偏离或保留将会对其他实质性响应要求的供应商的竞争地位产生不公正的影响。重大偏离的认定需经过评委会三分二及以上成员的认定。评委决定投标文件的响应性只根据投标文件本身的内容，而不寻求外部的证据。</w:t>
      </w:r>
    </w:p>
    <w:p w14:paraId="31846A5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26.3如果投标文件实质上没有响应招标文件的要求，评委会将予以拒绝。供应商不得通过修改或撤销不合要求的偏离或保留而使其投标成为实质性响应的投标。</w:t>
      </w:r>
    </w:p>
    <w:p w14:paraId="72AF6E5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26.4评委会将对确定为实质上响应的投标进行进一步审核，看其是否有计算上或累加上的算术错误，修正错误的原则如下：</w:t>
      </w:r>
    </w:p>
    <w:p w14:paraId="651A034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26.4.1投标文件中开标一览表内容与投标文件中相应内容不一致的，以开标一览表为准。</w:t>
      </w:r>
    </w:p>
    <w:p w14:paraId="43717C8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26.4.2大写金额和小写金额不一致的，以大写金额为准。</w:t>
      </w:r>
    </w:p>
    <w:p w14:paraId="021785C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26.4.3单价金额小数点或者百分比有明显错位的，以开标一览表的总价为准，并修改单价。</w:t>
      </w:r>
    </w:p>
    <w:p w14:paraId="2EAE300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26.4.4总价金额与按单价汇总金额不一致的，以单价金额计算结果为准。</w:t>
      </w:r>
    </w:p>
    <w:p w14:paraId="6DE2A2B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同时出现两种以上错误的，按照前款规定的顺序修正。</w:t>
      </w:r>
    </w:p>
    <w:p w14:paraId="4246C00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26.5评委会将按上述修正错误的方法调整投标文件中的投标报价，调整后的价格应对供应商具有约束力。如果供应商不接受修正后的价格，则其投标将被拒绝。</w:t>
      </w:r>
    </w:p>
    <w:p w14:paraId="35C1EA7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26.6评委会将允许修正投标文件中不构成重大偏离的、微小的、非正规的、不一致的或不规则的地方，但这些修改不能影响任何供应商相应的名次排列。</w:t>
      </w:r>
    </w:p>
    <w:p w14:paraId="0DF3364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26.7采用最低评标价法的采购项目，提供相同品牌产品的不同供应商参加同一合同项下投标的，以其中通过资格审查、符合性审查且报价最低的参加评标；报价相同的，由评标委员会按照招标文件规定的方式（招标文件未规定的通过随机抽取的方式）确定一个参加评标的供应商，其他投标无效。</w:t>
      </w:r>
    </w:p>
    <w:p w14:paraId="78D213C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使用综合评分法的采购项目，提供相同品牌产品且通过资格审查、符合性审查的不同供应商参加同一合同项下投标的，按一家供应商计算，评审后得分最高的同品牌供应商获得中标供应商推荐资格；评审得分相同的，由评标委员会根据招标文件规定的方式（招标文件未规定的采取随机抽取的方式）确定一个中标候选人，其他同品牌供应商不作为中标候选人。</w:t>
      </w:r>
    </w:p>
    <w:p w14:paraId="1B47D19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非单一产品采购项目，招标文件中将载明其中的核心产品。多家供应商提供的核心产品品牌相同的，按前两款规定处理。</w:t>
      </w:r>
    </w:p>
    <w:p w14:paraId="5F3EC9E0">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27．无效投标条款和废标条款</w:t>
      </w:r>
    </w:p>
    <w:p w14:paraId="31BB3016">
      <w:pPr>
        <w:spacing w:line="538" w:lineRule="exact"/>
        <w:ind w:firstLine="489"/>
        <w:rPr>
          <w:rFonts w:hint="default" w:ascii="Times New Roman" w:hAnsi="Times New Roman" w:cs="Times New Roman"/>
          <w:bCs/>
          <w:sz w:val="24"/>
        </w:rPr>
      </w:pPr>
      <w:bookmarkStart w:id="153" w:name="_Toc513029235"/>
      <w:bookmarkStart w:id="154" w:name="_Toc20823307"/>
      <w:bookmarkStart w:id="155" w:name="_Toc16938551"/>
      <w:r>
        <w:rPr>
          <w:rFonts w:hint="default" w:ascii="Times New Roman" w:hAnsi="Times New Roman" w:cs="Times New Roman"/>
          <w:bCs/>
          <w:sz w:val="24"/>
        </w:rPr>
        <w:t>27.1 无效投标条款：</w:t>
      </w:r>
    </w:p>
    <w:p w14:paraId="0D72B20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27.1.1投标文件密封、签署、盖章不符合招标文件要求的；</w:t>
      </w:r>
    </w:p>
    <w:p w14:paraId="22DB16A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27.1.2供应商不具备招标文件中规定资格要求的；</w:t>
      </w:r>
    </w:p>
    <w:p w14:paraId="44F35C0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27.1.3供应商在报价时采用选择性报价的；</w:t>
      </w:r>
    </w:p>
    <w:p w14:paraId="415E5C7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27.1.4供应商的报价超过了采购预算或最高限价的；</w:t>
      </w:r>
    </w:p>
    <w:p w14:paraId="77BC38D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27.1.5未通过符合性检查的；</w:t>
      </w:r>
    </w:p>
    <w:p w14:paraId="549DF52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27.1.6不符合招标文件中规定的其他实质性要求和条件的</w:t>
      </w:r>
      <w:r>
        <w:rPr>
          <w:rFonts w:hint="default" w:ascii="Times New Roman" w:hAnsi="Times New Roman" w:cs="Times New Roman"/>
          <w:bCs/>
          <w:i/>
          <w:sz w:val="24"/>
          <w:u w:val="single"/>
        </w:rPr>
        <w:t>（本招标文件中标注</w:t>
      </w:r>
      <w:r>
        <w:rPr>
          <w:rFonts w:hint="default" w:ascii="Times New Roman" w:hAnsi="Times New Roman" w:cs="Times New Roman"/>
          <w:i/>
          <w:sz w:val="24"/>
          <w:szCs w:val="24"/>
          <w:u w:val="single"/>
        </w:rPr>
        <w:t>斜体下划线</w:t>
      </w:r>
      <w:r>
        <w:rPr>
          <w:rFonts w:hint="default" w:ascii="Times New Roman" w:hAnsi="Times New Roman" w:cs="Times New Roman"/>
          <w:bCs/>
          <w:i/>
          <w:sz w:val="24"/>
          <w:u w:val="single"/>
        </w:rPr>
        <w:t>部分为实质性要求和条件</w:t>
      </w:r>
      <w:r>
        <w:rPr>
          <w:rFonts w:hint="default" w:ascii="Times New Roman" w:hAnsi="Times New Roman" w:cs="Times New Roman"/>
          <w:bCs/>
          <w:sz w:val="24"/>
        </w:rPr>
        <w:t>）。</w:t>
      </w:r>
    </w:p>
    <w:p w14:paraId="56E3519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27.1.8供应商被 “信用中国”、“中国政府采购网”列入失信被执行人、重大税收违法案件当事人名单、政府采购严重失信行为记录名单及不符合《中华人民共和国政府采购法》第二十二条规定条件的情形。</w:t>
      </w:r>
    </w:p>
    <w:p w14:paraId="1EEF925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27.1.9投标文件含有采购人不能接受的附加条件的。</w:t>
      </w:r>
    </w:p>
    <w:p w14:paraId="7325D45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27.1.10评委会认为供应商的报价明显低于其他通过符合性审查供应商的报价，有可能影响产品质量或者不能诚信履约的，应当要求其在评标现场合理的时间内提供书面说明，必要时提交相关证明材料；供应商不能证明其报价合理性的，评标委员会应当将其作为无效投标处理。</w:t>
      </w:r>
    </w:p>
    <w:p w14:paraId="0D5F4FF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27.1.11其他法律、法规及本招标文件规定的属无效投标的情形。</w:t>
      </w:r>
    </w:p>
    <w:p w14:paraId="00CC2D6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27.2废标条款：</w:t>
      </w:r>
    </w:p>
    <w:p w14:paraId="5605615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27.2.1符合专业条件的供应商或者对招标文件作实质性响应的供应商不足三家的；</w:t>
      </w:r>
    </w:p>
    <w:p w14:paraId="3BABCB2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27.2.2出现影响采购公正的违法、违规行为的；</w:t>
      </w:r>
    </w:p>
    <w:p w14:paraId="7DE11DF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27.2.3招标人因重大变故，采购任务取消的；</w:t>
      </w:r>
    </w:p>
    <w:p w14:paraId="1E16FCE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27.2.4评委会认定招标文件存在歧义、重大缺陷导致评审工作无法进行。</w:t>
      </w:r>
    </w:p>
    <w:p w14:paraId="00D0479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27.3投标截止时间结束后参加投标的供应商不足三家的处理：</w:t>
      </w:r>
    </w:p>
    <w:p w14:paraId="560EA8EF">
      <w:pPr>
        <w:spacing w:line="538" w:lineRule="exact"/>
        <w:ind w:firstLine="489"/>
        <w:rPr>
          <w:rFonts w:hint="default" w:ascii="Times New Roman" w:hAnsi="Times New Roman" w:cs="Times New Roman"/>
          <w:bCs/>
          <w:sz w:val="24"/>
        </w:rPr>
      </w:pPr>
      <w:bookmarkStart w:id="156" w:name="_Toc120614219"/>
      <w:r>
        <w:rPr>
          <w:rFonts w:hint="default" w:ascii="Times New Roman" w:hAnsi="Times New Roman" w:cs="Times New Roman"/>
          <w:bCs/>
          <w:sz w:val="24"/>
        </w:rPr>
        <w:t>如出现投标截止时间结束后参加投标的供应商或者在评标期间对招标文件做出实质响应的供应商不足三家情况，按政府采购相关规定执行。</w:t>
      </w:r>
    </w:p>
    <w:p w14:paraId="11318BC0">
      <w:pPr>
        <w:keepNext/>
        <w:keepLines/>
        <w:spacing w:line="520" w:lineRule="exact"/>
        <w:ind w:firstLine="482"/>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六、</w:t>
      </w:r>
      <w:bookmarkEnd w:id="153"/>
      <w:bookmarkEnd w:id="154"/>
      <w:bookmarkEnd w:id="155"/>
      <w:r>
        <w:rPr>
          <w:rFonts w:hint="default" w:ascii="Times New Roman" w:hAnsi="Times New Roman" w:cs="Times New Roman"/>
          <w:b/>
          <w:bCs/>
          <w:sz w:val="32"/>
          <w:szCs w:val="32"/>
        </w:rPr>
        <w:t>定标</w:t>
      </w:r>
      <w:bookmarkEnd w:id="156"/>
    </w:p>
    <w:p w14:paraId="7E3E79BA">
      <w:pPr>
        <w:keepNext/>
        <w:keepLines/>
        <w:spacing w:line="538" w:lineRule="exact"/>
        <w:ind w:right="-44" w:firstLine="490"/>
        <w:outlineLvl w:val="3"/>
        <w:rPr>
          <w:rFonts w:hint="default" w:ascii="Times New Roman" w:hAnsi="Times New Roman" w:eastAsia="黑体" w:cs="Times New Roman"/>
          <w:sz w:val="28"/>
          <w:szCs w:val="28"/>
        </w:rPr>
      </w:pPr>
      <w:bookmarkStart w:id="157" w:name="_Toc513029238"/>
      <w:bookmarkStart w:id="158" w:name="_Toc16938554"/>
      <w:bookmarkStart w:id="159" w:name="_Toc20823310"/>
      <w:r>
        <w:rPr>
          <w:rFonts w:hint="default" w:ascii="Times New Roman" w:hAnsi="Times New Roman" w:eastAsia="黑体" w:cs="Times New Roman"/>
          <w:sz w:val="28"/>
          <w:szCs w:val="28"/>
        </w:rPr>
        <w:t>2</w:t>
      </w:r>
      <w:bookmarkEnd w:id="157"/>
      <w:r>
        <w:rPr>
          <w:rFonts w:hint="default" w:ascii="Times New Roman" w:hAnsi="Times New Roman" w:eastAsia="黑体" w:cs="Times New Roman"/>
          <w:sz w:val="28"/>
          <w:szCs w:val="28"/>
        </w:rPr>
        <w:t>8．确定</w:t>
      </w:r>
      <w:bookmarkEnd w:id="158"/>
      <w:bookmarkEnd w:id="159"/>
      <w:r>
        <w:rPr>
          <w:rFonts w:hint="default" w:ascii="Times New Roman" w:hAnsi="Times New Roman" w:eastAsia="黑体" w:cs="Times New Roman"/>
          <w:sz w:val="28"/>
          <w:szCs w:val="28"/>
        </w:rPr>
        <w:t>中标单位</w:t>
      </w:r>
    </w:p>
    <w:p w14:paraId="4FEB146F">
      <w:pPr>
        <w:spacing w:line="538" w:lineRule="exact"/>
        <w:ind w:firstLine="489"/>
        <w:rPr>
          <w:rFonts w:hint="default" w:ascii="Times New Roman" w:hAnsi="Times New Roman" w:cs="Times New Roman"/>
          <w:bCs/>
          <w:sz w:val="24"/>
        </w:rPr>
      </w:pPr>
      <w:bookmarkStart w:id="160" w:name="_Toc16938552"/>
      <w:bookmarkStart w:id="161" w:name="_Toc20823308"/>
      <w:bookmarkStart w:id="162" w:name="_Toc120614220"/>
      <w:bookmarkStart w:id="163" w:name="_Toc513029236"/>
      <w:r>
        <w:rPr>
          <w:rFonts w:hint="default" w:ascii="Times New Roman" w:hAnsi="Times New Roman" w:cs="Times New Roman"/>
          <w:bCs/>
          <w:sz w:val="24"/>
        </w:rPr>
        <w:t xml:space="preserve">28.1评委会将对通过资格性审查和符合性审查的投标文件进行评价和比较。 </w:t>
      </w:r>
    </w:p>
    <w:p w14:paraId="26975E9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28.2评委会将根据本招标文件规定评分办法与评分标准确定中标供应商，任何单项因素的最优不能作为中标的保证。</w:t>
      </w:r>
    </w:p>
    <w:p w14:paraId="04EC6E9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28.3 采购人将在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发布中标公告，公告期限为1个工作日。</w:t>
      </w:r>
    </w:p>
    <w:p w14:paraId="797414B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28.4若有充分证据证明，中标供应商出现下列情况之一的，一经查实，将被取消中标资格：</w:t>
      </w:r>
    </w:p>
    <w:p w14:paraId="46278C7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28.4.1提供虚假材料谋取中标的；</w:t>
      </w:r>
    </w:p>
    <w:p w14:paraId="7B97F20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28.4.2向采购人、装备中心行贿或者提供其他不正当利益的；</w:t>
      </w:r>
    </w:p>
    <w:p w14:paraId="0B947D7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28.4.3恶意竞争，投标总报价明显低于其自身合理成本且又无法提供证明的；</w:t>
      </w:r>
    </w:p>
    <w:p w14:paraId="005BC2B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28.4.4属于本文件规定的无效条件，但在评标过程中又未被评委会发现的；</w:t>
      </w:r>
    </w:p>
    <w:p w14:paraId="32A5572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28.4.5与采购人或者其他供应商恶意串通的；</w:t>
      </w:r>
    </w:p>
    <w:p w14:paraId="1A23218F">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28.4.6采取不正当手段诋毁、排挤其他供应商的；</w:t>
      </w:r>
    </w:p>
    <w:p w14:paraId="0236316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28.4.7不符合法律、法规的规定的。</w:t>
      </w:r>
    </w:p>
    <w:p w14:paraId="42A69F5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28.5有下列情形之一的，视为供应商串通投标，投标无效：</w:t>
      </w:r>
    </w:p>
    <w:p w14:paraId="5F0703D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28.5.1不同供应商的投标文件由同一单位或者个人编制。</w:t>
      </w:r>
    </w:p>
    <w:p w14:paraId="1089BF9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28.5.2不同供应商委托同一单位或者个人办理投标事宜。</w:t>
      </w:r>
    </w:p>
    <w:p w14:paraId="02AEED7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28.5.3不同供应商的投标文件载明的项目管理成员或者联系人员为同一人。</w:t>
      </w:r>
    </w:p>
    <w:p w14:paraId="24E56E1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28.5.4不同供应商的投标文件异常一致或者投标报价呈规律性差异。</w:t>
      </w:r>
    </w:p>
    <w:p w14:paraId="36F7986F">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28.5.5不同供应商的投标文件相互混装。</w:t>
      </w:r>
    </w:p>
    <w:p w14:paraId="75921128">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29．质疑处理</w:t>
      </w:r>
    </w:p>
    <w:p w14:paraId="64C699F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29.1提出质疑的供应商应当是参与所质疑项目采购活动的供应商。潜在供应商依法获取其可质疑的采购文件的，可以对采购文件提出质疑。</w:t>
      </w:r>
    </w:p>
    <w:p w14:paraId="7DF4F1A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29.2供应商认为采购文件、采购过程和采购结果使自己的权益受到损害的，可以在知道或应知其权益受到损害之日起七个工作日内，以书面形式向装备中心或采购人提出质疑。上述应知其权益受到损害之日，是指：</w:t>
      </w:r>
    </w:p>
    <w:p w14:paraId="57CFE5C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29.2.1对可以质疑的采购文件提出质疑的，为收到采购文件之日或者采购文件公告期限届满之日；</w:t>
      </w:r>
    </w:p>
    <w:p w14:paraId="4EFE69E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29.2.2对采购过程提出质疑的，为各采购程序环节结束之日；</w:t>
      </w:r>
    </w:p>
    <w:p w14:paraId="584F30F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29.2.3对中标或者成交结果提出质疑的，为中标或者成交结果公告期限届满之日。</w:t>
      </w:r>
    </w:p>
    <w:p w14:paraId="0D82A26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供应商应当在法定质疑期内一次性提出针对同一采购程序环节的质疑。供应商如在法定期限内对同一采购程序环节提出多次质疑的，装备中心将只对供应商第一次质疑做出答复。</w:t>
      </w:r>
    </w:p>
    <w:p w14:paraId="0F94BAB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29.3质疑函必须按照本招标文件中《质疑函范本》要求的格式和内容进行填写。供应商如组成联合体参加投标，则《质疑函范本》中要求签字、盖章、加盖公章之处，联合体各方均须按要求签字、盖章、加盖公章。</w:t>
      </w:r>
    </w:p>
    <w:p w14:paraId="6FE5F04A">
      <w:pPr>
        <w:spacing w:line="538" w:lineRule="exact"/>
        <w:ind w:firstLine="489"/>
        <w:rPr>
          <w:rFonts w:hint="default" w:ascii="Times New Roman" w:hAnsi="Times New Roman" w:cs="Times New Roman"/>
          <w:sz w:val="24"/>
          <w:szCs w:val="24"/>
        </w:rPr>
      </w:pPr>
      <w:r>
        <w:rPr>
          <w:rFonts w:hint="default" w:ascii="Times New Roman" w:hAnsi="Times New Roman" w:cs="Times New Roman"/>
          <w:bCs/>
          <w:sz w:val="24"/>
        </w:rPr>
        <w:t>29.4装备</w:t>
      </w:r>
      <w:r>
        <w:rPr>
          <w:rFonts w:hint="default" w:ascii="Times New Roman" w:hAnsi="Times New Roman" w:cs="Times New Roman"/>
          <w:sz w:val="24"/>
          <w:szCs w:val="24"/>
        </w:rPr>
        <w:t>中心只接收以纸质原件形式送达的质疑。联系地址：南京市广州路191号五环大厦1204室，联系电话：025-51889606。</w:t>
      </w:r>
    </w:p>
    <w:p w14:paraId="7855D7F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29.5质疑不予受理的情形：</w:t>
      </w:r>
    </w:p>
    <w:p w14:paraId="3DDD2738">
      <w:pPr>
        <w:spacing w:line="538" w:lineRule="exact"/>
        <w:ind w:firstLine="489"/>
        <w:rPr>
          <w:rFonts w:hint="default" w:ascii="Times New Roman" w:hAnsi="Times New Roman" w:cs="Times New Roman"/>
          <w:sz w:val="24"/>
          <w:szCs w:val="24"/>
        </w:rPr>
      </w:pPr>
      <w:r>
        <w:rPr>
          <w:rFonts w:hint="default" w:ascii="Times New Roman" w:hAnsi="Times New Roman" w:cs="Times New Roman"/>
          <w:bCs/>
          <w:sz w:val="24"/>
        </w:rPr>
        <w:t>29.5.1</w:t>
      </w:r>
      <w:r>
        <w:rPr>
          <w:rFonts w:hint="default" w:ascii="Times New Roman" w:hAnsi="Times New Roman" w:cs="Times New Roman"/>
          <w:sz w:val="24"/>
          <w:szCs w:val="24"/>
        </w:rPr>
        <w:t>内容不符合《政府采购质疑和投诉办法》第十二条规定的质疑；</w:t>
      </w:r>
    </w:p>
    <w:p w14:paraId="562179F7">
      <w:pPr>
        <w:spacing w:line="538" w:lineRule="exact"/>
        <w:ind w:firstLine="489"/>
        <w:rPr>
          <w:rFonts w:hint="default" w:ascii="Times New Roman" w:hAnsi="Times New Roman" w:cs="Times New Roman"/>
          <w:sz w:val="24"/>
          <w:szCs w:val="24"/>
        </w:rPr>
      </w:pPr>
      <w:r>
        <w:rPr>
          <w:rFonts w:hint="default" w:ascii="Times New Roman" w:hAnsi="Times New Roman" w:cs="Times New Roman"/>
          <w:bCs/>
          <w:sz w:val="24"/>
        </w:rPr>
        <w:t>29.5.2</w:t>
      </w:r>
      <w:r>
        <w:rPr>
          <w:rFonts w:hint="default" w:ascii="Times New Roman" w:hAnsi="Times New Roman" w:cs="Times New Roman"/>
          <w:sz w:val="24"/>
          <w:szCs w:val="24"/>
        </w:rPr>
        <w:t>超出政府采购法定期限的质疑；</w:t>
      </w:r>
    </w:p>
    <w:p w14:paraId="37C8115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29.5.3以传真、电子邮件等方式递交的非原件形式的质疑；</w:t>
      </w:r>
    </w:p>
    <w:p w14:paraId="4E83B97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29.5.4未参加投标活动的供应商或在投标活动中自身权益未受到损害的供应商所提出的质疑。</w:t>
      </w:r>
    </w:p>
    <w:p w14:paraId="487F1D4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29.5.5供应商组成联合体参加投标，联合体中任何一方或多方未按要求签字、盖章、加盖公章的质疑。</w:t>
      </w:r>
    </w:p>
    <w:p w14:paraId="4BA1B67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29.6供应商提出书面质疑必须有理、有据，不得恶意质疑或提交虚假质疑。否则，一经查实，装备中心有权依据政府采购的有关规定，报请政府采购监管部门对该供应商进行相应的行政处罚</w:t>
      </w:r>
      <w:r>
        <w:rPr>
          <w:rFonts w:hint="default" w:ascii="Times New Roman" w:hAnsi="Times New Roman" w:cs="Times New Roman"/>
          <w:sz w:val="24"/>
          <w:szCs w:val="24"/>
        </w:rPr>
        <w:t>和记录该供应商的失信信息</w:t>
      </w:r>
      <w:r>
        <w:rPr>
          <w:rFonts w:hint="default" w:ascii="Times New Roman" w:hAnsi="Times New Roman" w:cs="Times New Roman"/>
          <w:bCs/>
          <w:sz w:val="24"/>
        </w:rPr>
        <w:t>。</w:t>
      </w:r>
    </w:p>
    <w:p w14:paraId="4FEB34FF">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30．中标通知书</w:t>
      </w:r>
    </w:p>
    <w:p w14:paraId="54F8D71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30.1中标结果确定后，装备中心将向中标供应商发出中标通知书。</w:t>
      </w:r>
    </w:p>
    <w:p w14:paraId="59E2807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30.2中标供应商收到通知书当日应以书面形式确认；若无书面回复，则公告后视同中标供应商已经知悉并同意接受。中标通知书对采购人和中标供应商具有同等法律效力。中标通知书发出后，采购人改变中标结果或者中标供应商放弃中标，应当承担相应的法律责任。</w:t>
      </w:r>
    </w:p>
    <w:p w14:paraId="209502A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30.3所有供应商应按前款规定时间在“</w:t>
      </w:r>
      <w:r>
        <w:rPr>
          <w:rFonts w:hint="default" w:ascii="Times New Roman" w:hAnsi="Times New Roman" w:cs="Times New Roman"/>
          <w:bCs/>
          <w:sz w:val="24"/>
          <w:lang w:val="en-US" w:eastAsia="zh-CN"/>
        </w:rPr>
        <w:t>江苏省体育局</w:t>
      </w:r>
      <w:r>
        <w:rPr>
          <w:rFonts w:hint="default" w:ascii="Times New Roman" w:hAnsi="Times New Roman" w:cs="Times New Roman"/>
          <w:bCs/>
          <w:sz w:val="24"/>
        </w:rPr>
        <w:t>”</w:t>
      </w:r>
      <w:r>
        <w:rPr>
          <w:rFonts w:hint="default" w:ascii="Times New Roman" w:hAnsi="Times New Roman" w:cs="Times New Roman"/>
          <w:bCs/>
          <w:sz w:val="24"/>
          <w:lang w:val="en-US" w:eastAsia="zh-CN"/>
        </w:rPr>
        <w:t>门户</w:t>
      </w:r>
      <w:r>
        <w:rPr>
          <w:rFonts w:hint="default" w:ascii="Times New Roman" w:hAnsi="Times New Roman" w:cs="Times New Roman"/>
          <w:bCs/>
          <w:sz w:val="24"/>
        </w:rPr>
        <w:t>网</w:t>
      </w:r>
      <w:r>
        <w:rPr>
          <w:rFonts w:hint="default" w:ascii="Times New Roman" w:hAnsi="Times New Roman" w:cs="Times New Roman"/>
          <w:bCs/>
          <w:sz w:val="24"/>
          <w:lang w:val="en-US" w:eastAsia="zh-CN"/>
        </w:rPr>
        <w:t>站</w:t>
      </w:r>
      <w:r>
        <w:rPr>
          <w:rFonts w:hint="default" w:ascii="Times New Roman" w:hAnsi="Times New Roman" w:cs="Times New Roman"/>
          <w:bCs/>
          <w:sz w:val="24"/>
        </w:rPr>
        <w:t>查看中标公告，装备中心不再另行通知。装备中心对未中标的供应商不作未中标原因的解释。</w:t>
      </w:r>
    </w:p>
    <w:p w14:paraId="43F7A31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30.4 中标通知书是最后签订的采购合同的组成部分。对采购人和中标供应商均具有法律效力。中标通知书发出后，采购人改变中标结果的，或者中标供应商放弃中标项目的，应当依法承担法律责任。</w:t>
      </w:r>
    </w:p>
    <w:p w14:paraId="40015AD9">
      <w:pPr>
        <w:keepNext/>
        <w:keepLines/>
        <w:spacing w:line="520" w:lineRule="exact"/>
        <w:ind w:firstLine="482"/>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七、授予合同</w:t>
      </w:r>
    </w:p>
    <w:p w14:paraId="3C1F97DB">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31．签订合同</w:t>
      </w:r>
    </w:p>
    <w:p w14:paraId="5A36CA4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31.1采购人将在中标通知书发出之日起30日内与中标供应商签订采购合同。</w:t>
      </w:r>
    </w:p>
    <w:p w14:paraId="1C35EE6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31.2 中标供应商应按照招标文件、投标文件及评标过程中的有关澄清、说明或者补正文件的内容与采购人签订合同。中标供应商不得再与采购人签订背离合同实质性内容的其它协议或声明。</w:t>
      </w:r>
    </w:p>
    <w:p w14:paraId="2179606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31.3如果中标供应商未能在规定时间内与采购人签订采购合同，装备中心则可宣布其中标无效。在此情况下，采购人可按《政府采购法实施条例》相关规定执行。</w:t>
      </w:r>
    </w:p>
    <w:p w14:paraId="1C1795E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31.4 签订合同后，中标供应商不得将货物及其他相关服务进行转包。未经采购人同意，中标供应商也不得采用分包的形式履行合同，否则采购人有权终止合同。转包或分包造成采购人损失的，中标供应商应承担相应赔偿责任。</w:t>
      </w:r>
    </w:p>
    <w:p w14:paraId="37603869">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32．产品和服务的追加、减少和添购。</w:t>
      </w:r>
    </w:p>
    <w:p w14:paraId="4B65DD7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32.1政府采购合同履行中，采购人需追加与合同标的相同的产品和服务的，在不改变价格水平、合同及其他条款的前提下，采购人可以与中标供应商协商签订补充合同，但所有补充合同的采购金额不超过原合同金额10%。</w:t>
      </w:r>
    </w:p>
    <w:p w14:paraId="65B3055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32.2采购结束后，采购人若由于各种客观原因，必须对采购项目所牵涉的产品和服务进行适当的减少时，在双方协商一致的前提下，可以按照招标采购时的价格水平做相应的调减，并据此签订补充合同。</w:t>
      </w:r>
    </w:p>
    <w:p w14:paraId="7BC27D5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32.3项目结束后，采购人若由于各种客观原因，必须对采购项目所牵涉的产品和服务进行适当的添购时，由于须保证原有采购项目一致性或者服务配套的要求，经相关部门批准，可以继续从中标供应商处按照单一来源采购的方式进行添购，且所牵涉的产品和服务的价格水平不得超过本次公开招标的水平且低于当时的社会平均价。产品和服务的添购，应在本次政府采购合同的基础上，另行签订货物和服务的添购合同。</w:t>
      </w:r>
    </w:p>
    <w:p w14:paraId="4308A2B1">
      <w:pPr>
        <w:keepNext/>
        <w:keepLines/>
        <w:spacing w:line="538" w:lineRule="exact"/>
        <w:ind w:right="-44" w:firstLine="490"/>
        <w:outlineLvl w:val="3"/>
        <w:rPr>
          <w:rFonts w:hint="default" w:ascii="Times New Roman" w:hAnsi="Times New Roman" w:eastAsia="黑体" w:cs="Times New Roman"/>
          <w:b/>
          <w:sz w:val="24"/>
          <w:szCs w:val="28"/>
        </w:rPr>
      </w:pPr>
      <w:r>
        <w:rPr>
          <w:rFonts w:hint="default" w:ascii="Times New Roman" w:hAnsi="Times New Roman" w:eastAsia="黑体" w:cs="Times New Roman"/>
          <w:sz w:val="28"/>
          <w:szCs w:val="28"/>
        </w:rPr>
        <w:t>33．履约保证金</w:t>
      </w:r>
    </w:p>
    <w:bookmarkEnd w:id="160"/>
    <w:bookmarkEnd w:id="161"/>
    <w:bookmarkEnd w:id="162"/>
    <w:bookmarkEnd w:id="163"/>
    <w:p w14:paraId="17283710">
      <w:pPr>
        <w:spacing w:line="538" w:lineRule="exact"/>
        <w:ind w:firstLine="489"/>
        <w:rPr>
          <w:rFonts w:hint="default" w:ascii="Times New Roman" w:hAnsi="Times New Roman" w:eastAsia="宋体" w:cs="Times New Roman"/>
          <w:bCs/>
          <w:sz w:val="24"/>
          <w:highlight w:val="none"/>
          <w:lang w:val="en-US" w:eastAsia="zh-CN"/>
        </w:rPr>
      </w:pPr>
      <w:bookmarkStart w:id="164" w:name="_Toc507425682"/>
      <w:r>
        <w:rPr>
          <w:rFonts w:hint="default" w:ascii="Times New Roman" w:hAnsi="Times New Roman" w:cs="Times New Roman"/>
          <w:bCs/>
          <w:sz w:val="24"/>
          <w:highlight w:val="none"/>
        </w:rPr>
        <w:t>33.1</w:t>
      </w:r>
      <w:r>
        <w:rPr>
          <w:rFonts w:hint="default" w:ascii="Times New Roman" w:hAnsi="Times New Roman" w:cs="Times New Roman"/>
          <w:bCs/>
          <w:sz w:val="24"/>
          <w:highlight w:val="none"/>
          <w:lang w:val="en-US" w:eastAsia="zh-CN"/>
        </w:rPr>
        <w:t>本项目不收取履约保证金。</w:t>
      </w:r>
    </w:p>
    <w:p w14:paraId="64C377C2">
      <w:pPr>
        <w:keepNext/>
        <w:keepLines/>
        <w:spacing w:line="520" w:lineRule="exact"/>
        <w:ind w:firstLine="482"/>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八、其他</w:t>
      </w:r>
      <w:bookmarkEnd w:id="164"/>
    </w:p>
    <w:p w14:paraId="15F45580">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34．样品</w:t>
      </w:r>
    </w:p>
    <w:p w14:paraId="2F6AA77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34.1</w:t>
      </w:r>
      <w:r>
        <w:rPr>
          <w:rFonts w:hint="default" w:ascii="Times New Roman" w:hAnsi="Times New Roman" w:cs="Times New Roman"/>
          <w:sz w:val="24"/>
        </w:rPr>
        <w:t>项目要求提供样品的，中标供应商的样品由采购人负责保管、封存，并作为履约验收的参考。</w:t>
      </w:r>
    </w:p>
    <w:p w14:paraId="1FA36D5D">
      <w:pPr>
        <w:keepNext/>
        <w:keepLines/>
        <w:spacing w:line="520" w:lineRule="exact"/>
        <w:ind w:firstLine="504"/>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35. 政策功能</w:t>
      </w:r>
    </w:p>
    <w:p w14:paraId="52AF125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35.1《政府采购促进中小企业发展管理办法》（财库[2020]46号）</w:t>
      </w:r>
    </w:p>
    <w:p w14:paraId="72EE624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35.2《关于政府采购支持监狱企业发展有关问题的通知》（财库[2014]68号）</w:t>
      </w:r>
    </w:p>
    <w:p w14:paraId="18F937E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35.3《关于促进残疾人就业政府采购政策的通知》（财库[2017]141号）</w:t>
      </w:r>
    </w:p>
    <w:p w14:paraId="7ED8432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35.4《关于调整优化节能产品、环境标志产品政府采购执行机制的通知》（财库 [2019] 9号）</w:t>
      </w:r>
    </w:p>
    <w:p w14:paraId="2CB3C82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35.5《关于印发环境标志产品政府采购品目清单的通知》（财库 [2019] 18号）</w:t>
      </w:r>
    </w:p>
    <w:p w14:paraId="1C879FE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35.6《关于印发节能产品政府采购品目清单的通知》（财库 [2019] 19号）</w:t>
      </w:r>
    </w:p>
    <w:p w14:paraId="6C00BBF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35.7《关于进一步加大政府采购支持中小企业力度的通知》（财库〔2022〕19号）</w:t>
      </w:r>
    </w:p>
    <w:p w14:paraId="682A5BC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35.8《关于做好政府采购支持企业发展有关事项的通知》（苏财购[2020]52号）</w:t>
      </w:r>
    </w:p>
    <w:p w14:paraId="21C4C169">
      <w:pPr>
        <w:pStyle w:val="187"/>
        <w:numPr>
          <w:ilvl w:val="0"/>
          <w:numId w:val="4"/>
        </w:numPr>
        <w:rPr>
          <w:rFonts w:hint="default" w:ascii="Times New Roman" w:hAnsi="Times New Roman" w:eastAsia="黑体" w:cs="Times New Roman"/>
          <w:bCs/>
          <w:sz w:val="44"/>
        </w:rPr>
      </w:pPr>
      <w:r>
        <w:rPr>
          <w:rFonts w:hint="default" w:ascii="Times New Roman" w:hAnsi="Times New Roman" w:eastAsia="黑体" w:cs="Times New Roman"/>
          <w:bCs/>
          <w:sz w:val="44"/>
        </w:rPr>
        <w:br w:type="page" w:clear="all"/>
      </w:r>
      <w:bookmarkEnd w:id="57"/>
      <w:bookmarkEnd w:id="58"/>
      <w:bookmarkEnd w:id="59"/>
      <w:bookmarkEnd w:id="60"/>
      <w:bookmarkEnd w:id="61"/>
      <w:r>
        <w:rPr>
          <w:rFonts w:hint="default" w:ascii="Times New Roman" w:hAnsi="Times New Roman" w:eastAsia="黑体" w:cs="Times New Roman"/>
          <w:bCs/>
          <w:sz w:val="44"/>
        </w:rPr>
        <w:t xml:space="preserve"> </w:t>
      </w:r>
      <w:bookmarkStart w:id="165" w:name="_Toc511899514"/>
      <w:bookmarkStart w:id="166" w:name="_Toc121905577"/>
      <w:bookmarkStart w:id="167" w:name="_Toc481071968"/>
      <w:bookmarkStart w:id="168" w:name="_Toc475009298"/>
      <w:bookmarkStart w:id="169" w:name="_Toc481072014"/>
      <w:r>
        <w:rPr>
          <w:rFonts w:hint="default" w:ascii="Times New Roman" w:hAnsi="Times New Roman" w:eastAsia="黑体" w:cs="Times New Roman"/>
          <w:bCs/>
          <w:sz w:val="44"/>
        </w:rPr>
        <w:t>合同条款及格式</w:t>
      </w:r>
      <w:bookmarkEnd w:id="165"/>
      <w:bookmarkEnd w:id="166"/>
      <w:bookmarkEnd w:id="167"/>
      <w:bookmarkEnd w:id="168"/>
      <w:bookmarkEnd w:id="169"/>
    </w:p>
    <w:p w14:paraId="29A8DB39">
      <w:pPr>
        <w:spacing w:line="520" w:lineRule="exact"/>
        <w:ind w:firstLine="480"/>
        <w:rPr>
          <w:rFonts w:hint="default" w:ascii="Times New Roman" w:hAnsi="Times New Roman" w:cs="Times New Roman"/>
          <w:color w:val="000000"/>
          <w:sz w:val="24"/>
        </w:rPr>
      </w:pPr>
      <w:bookmarkStart w:id="170" w:name="_Toc16938559"/>
      <w:bookmarkStart w:id="171" w:name="_Toc20823315"/>
      <w:bookmarkStart w:id="172" w:name="_Toc513029243"/>
      <w:r>
        <w:rPr>
          <w:rFonts w:hint="default" w:ascii="Times New Roman" w:hAnsi="Times New Roman" w:cs="Times New Roman"/>
          <w:color w:val="000000"/>
          <w:sz w:val="24"/>
        </w:rPr>
        <w:t>合同编号：</w:t>
      </w:r>
    </w:p>
    <w:p w14:paraId="5ECFB7B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项目名称：</w:t>
      </w:r>
    </w:p>
    <w:p w14:paraId="52C0A7E7">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 xml:space="preserve">采购人（以下称甲方）： </w:t>
      </w:r>
    </w:p>
    <w:p w14:paraId="2F0B399D">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 xml:space="preserve">住所地： </w:t>
      </w:r>
    </w:p>
    <w:p w14:paraId="32B5418D">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 xml:space="preserve">供应商（以下称乙方）： </w:t>
      </w:r>
    </w:p>
    <w:p w14:paraId="248810DA">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住所地：</w:t>
      </w:r>
    </w:p>
    <w:p w14:paraId="254A9CC8">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采购代理机构：</w:t>
      </w:r>
      <w:r>
        <w:rPr>
          <w:rFonts w:hint="default" w:ascii="Times New Roman" w:hAnsi="Times New Roman" w:cs="Times New Roman"/>
          <w:bCs/>
          <w:sz w:val="24"/>
        </w:rPr>
        <w:t>江苏省体育装备中心</w:t>
      </w:r>
    </w:p>
    <w:p w14:paraId="3ADC2B1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根据《中华人民共和国民法典》、《中华人民共和国政府采购法》等法律法规的规定，甲、乙双方按照江苏省体育装备中心的招标结果签订本合同。</w:t>
      </w:r>
    </w:p>
    <w:p w14:paraId="79CF1F99">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第一条　合同标的</w:t>
      </w:r>
    </w:p>
    <w:p w14:paraId="42E693EC">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乙方根据甲方需求提供下列货物：</w:t>
      </w:r>
    </w:p>
    <w:tbl>
      <w:tblPr>
        <w:tblStyle w:val="31"/>
        <w:tblW w:w="9180"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74"/>
        <w:gridCol w:w="2812"/>
        <w:gridCol w:w="731"/>
        <w:gridCol w:w="970"/>
        <w:gridCol w:w="1134"/>
        <w:gridCol w:w="1559"/>
      </w:tblGrid>
      <w:tr w14:paraId="1E9D46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trPr>
        <w:tc>
          <w:tcPr>
            <w:tcW w:w="1974" w:type="dxa"/>
            <w:noWrap w:val="0"/>
            <w:vAlign w:val="center"/>
          </w:tcPr>
          <w:p w14:paraId="6C5CFB85">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品   名</w:t>
            </w:r>
          </w:p>
        </w:tc>
        <w:tc>
          <w:tcPr>
            <w:tcW w:w="2812" w:type="dxa"/>
            <w:noWrap w:val="0"/>
            <w:vAlign w:val="center"/>
          </w:tcPr>
          <w:p w14:paraId="61915F12">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规格型号</w:t>
            </w:r>
          </w:p>
        </w:tc>
        <w:tc>
          <w:tcPr>
            <w:tcW w:w="731" w:type="dxa"/>
            <w:noWrap w:val="0"/>
            <w:vAlign w:val="center"/>
          </w:tcPr>
          <w:p w14:paraId="3B7E64D4">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产地</w:t>
            </w:r>
          </w:p>
        </w:tc>
        <w:tc>
          <w:tcPr>
            <w:tcW w:w="970" w:type="dxa"/>
            <w:noWrap w:val="0"/>
            <w:vAlign w:val="center"/>
          </w:tcPr>
          <w:p w14:paraId="1DC87315">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数量</w:t>
            </w:r>
          </w:p>
        </w:tc>
        <w:tc>
          <w:tcPr>
            <w:tcW w:w="1134" w:type="dxa"/>
            <w:noWrap w:val="0"/>
            <w:vAlign w:val="center"/>
          </w:tcPr>
          <w:p w14:paraId="6BD66061">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单价</w:t>
            </w:r>
          </w:p>
        </w:tc>
        <w:tc>
          <w:tcPr>
            <w:tcW w:w="1559" w:type="dxa"/>
            <w:noWrap w:val="0"/>
            <w:vAlign w:val="center"/>
          </w:tcPr>
          <w:p w14:paraId="1BBAD1A7">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合计</w:t>
            </w:r>
          </w:p>
        </w:tc>
      </w:tr>
      <w:tr w14:paraId="416B45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trPr>
        <w:tc>
          <w:tcPr>
            <w:tcW w:w="1974" w:type="dxa"/>
            <w:noWrap w:val="0"/>
            <w:vAlign w:val="center"/>
          </w:tcPr>
          <w:p w14:paraId="074F8F11">
            <w:pPr>
              <w:spacing w:line="520" w:lineRule="exact"/>
              <w:ind w:firstLine="480"/>
              <w:jc w:val="center"/>
              <w:rPr>
                <w:rFonts w:hint="default" w:ascii="Times New Roman" w:hAnsi="Times New Roman" w:cs="Times New Roman"/>
                <w:color w:val="000000"/>
                <w:sz w:val="24"/>
              </w:rPr>
            </w:pPr>
          </w:p>
        </w:tc>
        <w:tc>
          <w:tcPr>
            <w:tcW w:w="2812" w:type="dxa"/>
            <w:noWrap w:val="0"/>
            <w:vAlign w:val="center"/>
          </w:tcPr>
          <w:p w14:paraId="1C40E1C8">
            <w:pPr>
              <w:spacing w:line="520" w:lineRule="exact"/>
              <w:ind w:firstLine="480"/>
              <w:jc w:val="center"/>
              <w:rPr>
                <w:rFonts w:hint="default" w:ascii="Times New Roman" w:hAnsi="Times New Roman" w:cs="Times New Roman"/>
                <w:color w:val="000000"/>
                <w:sz w:val="24"/>
              </w:rPr>
            </w:pPr>
          </w:p>
        </w:tc>
        <w:tc>
          <w:tcPr>
            <w:tcW w:w="731" w:type="dxa"/>
            <w:noWrap w:val="0"/>
            <w:vAlign w:val="center"/>
          </w:tcPr>
          <w:p w14:paraId="4B52257A">
            <w:pPr>
              <w:spacing w:line="520" w:lineRule="exact"/>
              <w:ind w:firstLine="480"/>
              <w:jc w:val="center"/>
              <w:rPr>
                <w:rFonts w:hint="default" w:ascii="Times New Roman" w:hAnsi="Times New Roman" w:cs="Times New Roman"/>
                <w:color w:val="000000"/>
                <w:sz w:val="24"/>
              </w:rPr>
            </w:pPr>
          </w:p>
        </w:tc>
        <w:tc>
          <w:tcPr>
            <w:tcW w:w="970" w:type="dxa"/>
            <w:noWrap w:val="0"/>
            <w:vAlign w:val="center"/>
          </w:tcPr>
          <w:p w14:paraId="0D641AC3">
            <w:pPr>
              <w:spacing w:line="520" w:lineRule="exact"/>
              <w:ind w:firstLine="480"/>
              <w:jc w:val="center"/>
              <w:rPr>
                <w:rFonts w:hint="default" w:ascii="Times New Roman" w:hAnsi="Times New Roman" w:cs="Times New Roman"/>
                <w:color w:val="000000"/>
                <w:sz w:val="24"/>
              </w:rPr>
            </w:pPr>
          </w:p>
        </w:tc>
        <w:tc>
          <w:tcPr>
            <w:tcW w:w="1134" w:type="dxa"/>
            <w:noWrap w:val="0"/>
            <w:vAlign w:val="center"/>
          </w:tcPr>
          <w:p w14:paraId="645B2D17">
            <w:pPr>
              <w:spacing w:line="520" w:lineRule="exact"/>
              <w:ind w:firstLine="480"/>
              <w:jc w:val="center"/>
              <w:rPr>
                <w:rFonts w:hint="default" w:ascii="Times New Roman" w:hAnsi="Times New Roman" w:cs="Times New Roman"/>
                <w:color w:val="000000"/>
                <w:sz w:val="24"/>
              </w:rPr>
            </w:pPr>
          </w:p>
        </w:tc>
        <w:tc>
          <w:tcPr>
            <w:tcW w:w="1559" w:type="dxa"/>
            <w:noWrap w:val="0"/>
            <w:vAlign w:val="center"/>
          </w:tcPr>
          <w:p w14:paraId="7171B3B3">
            <w:pPr>
              <w:spacing w:line="520" w:lineRule="exact"/>
              <w:ind w:firstLine="480"/>
              <w:jc w:val="center"/>
              <w:rPr>
                <w:rFonts w:hint="default" w:ascii="Times New Roman" w:hAnsi="Times New Roman" w:cs="Times New Roman"/>
                <w:color w:val="000000"/>
                <w:sz w:val="24"/>
              </w:rPr>
            </w:pPr>
          </w:p>
        </w:tc>
      </w:tr>
      <w:tr w14:paraId="0017B8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621" w:type="dxa"/>
            <w:gridSpan w:val="5"/>
            <w:noWrap w:val="0"/>
            <w:vAlign w:val="center"/>
          </w:tcPr>
          <w:p w14:paraId="723BC351">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 xml:space="preserve">合计（大写）： </w:t>
            </w:r>
          </w:p>
        </w:tc>
        <w:tc>
          <w:tcPr>
            <w:tcW w:w="1559" w:type="dxa"/>
            <w:noWrap w:val="0"/>
            <w:vAlign w:val="center"/>
          </w:tcPr>
          <w:p w14:paraId="5227566C">
            <w:pPr>
              <w:spacing w:line="520" w:lineRule="exact"/>
              <w:ind w:firstLine="480"/>
              <w:rPr>
                <w:rFonts w:hint="default" w:ascii="Times New Roman" w:hAnsi="Times New Roman" w:cs="Times New Roman"/>
                <w:color w:val="000000"/>
                <w:sz w:val="24"/>
              </w:rPr>
            </w:pPr>
          </w:p>
        </w:tc>
      </w:tr>
    </w:tbl>
    <w:p w14:paraId="3B71F72B">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第二条　合同总价款（结算价）</w:t>
      </w:r>
    </w:p>
    <w:p w14:paraId="44236E2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本合同项下货物</w:t>
      </w:r>
      <w:r>
        <w:rPr>
          <w:rFonts w:hint="default" w:ascii="Times New Roman" w:hAnsi="Times New Roman" w:cs="Times New Roman"/>
          <w:color w:val="000000"/>
          <w:sz w:val="24"/>
          <w:lang w:val="en-US" w:eastAsia="zh-CN"/>
        </w:rPr>
        <w:t>含税</w:t>
      </w:r>
      <w:r>
        <w:rPr>
          <w:rFonts w:hint="default" w:ascii="Times New Roman" w:hAnsi="Times New Roman" w:cs="Times New Roman"/>
          <w:color w:val="000000"/>
          <w:sz w:val="24"/>
        </w:rPr>
        <w:t>总价款（结算价）为（大写）</w:t>
      </w:r>
      <w:r>
        <w:rPr>
          <w:rFonts w:hint="default" w:ascii="Times New Roman" w:hAnsi="Times New Roman" w:cs="Times New Roman"/>
          <w:color w:val="000000"/>
          <w:sz w:val="24"/>
          <w:u w:val="single"/>
        </w:rPr>
        <w:t xml:space="preserve">       （￥      ）</w:t>
      </w:r>
      <w:r>
        <w:rPr>
          <w:rFonts w:hint="default" w:ascii="Times New Roman" w:hAnsi="Times New Roman" w:cs="Times New Roman"/>
          <w:color w:val="000000"/>
          <w:sz w:val="24"/>
        </w:rPr>
        <w:t>人民币，分项价款在“投标报价表”中有明确规定。</w:t>
      </w:r>
    </w:p>
    <w:p w14:paraId="4D8562A8">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本合同总价款是货物设计、制造、包装、仓储、运输、安装及验收合格之前及保修期内备品备件发生的所有含税费用</w:t>
      </w:r>
      <w:r>
        <w:rPr>
          <w:rFonts w:hint="default" w:ascii="Times New Roman" w:hAnsi="Times New Roman" w:cs="Times New Roman"/>
          <w:sz w:val="24"/>
          <w:szCs w:val="22"/>
        </w:rPr>
        <w:t>，甲方无需额外支付任何费用</w:t>
      </w:r>
      <w:r>
        <w:rPr>
          <w:rFonts w:hint="default" w:ascii="Times New Roman" w:hAnsi="Times New Roman" w:cs="Times New Roman"/>
          <w:color w:val="000000"/>
          <w:sz w:val="24"/>
        </w:rPr>
        <w:t>。</w:t>
      </w:r>
    </w:p>
    <w:p w14:paraId="0D8992E0">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本合同总价款还包含乙方应当提供的伴随服务/售后服务费用。</w:t>
      </w:r>
    </w:p>
    <w:p w14:paraId="4A112FE1">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本合同执行期间合同总价款不变。</w:t>
      </w:r>
    </w:p>
    <w:p w14:paraId="6471FDB6">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第三条　组成本合同的有关文件</w:t>
      </w:r>
    </w:p>
    <w:p w14:paraId="4B625359">
      <w:pPr>
        <w:spacing w:line="500" w:lineRule="exact"/>
        <w:ind w:firstLine="480"/>
        <w:rPr>
          <w:rFonts w:hint="default" w:ascii="Times New Roman" w:hAnsi="Times New Roman" w:cs="Times New Roman"/>
          <w:color w:val="000000"/>
          <w:sz w:val="24"/>
        </w:rPr>
      </w:pPr>
      <w:r>
        <w:rPr>
          <w:rFonts w:hint="default" w:ascii="Times New Roman" w:hAnsi="Times New Roman" w:cs="Times New Roman"/>
          <w:sz w:val="24"/>
        </w:rPr>
        <w:t>下列关于江苏省体育装备中心</w:t>
      </w:r>
      <w:r>
        <w:rPr>
          <w:rFonts w:hint="eastAsia" w:ascii="Times New Roman" w:hAnsi="Times New Roman" w:cs="Times New Roman"/>
          <w:sz w:val="24"/>
          <w:lang w:eastAsia="zh-CN"/>
        </w:rPr>
        <w:t>STZ-ZBGK25057</w:t>
      </w:r>
      <w:r>
        <w:rPr>
          <w:rFonts w:hint="default" w:ascii="Times New Roman" w:hAnsi="Times New Roman" w:cs="Times New Roman"/>
          <w:sz w:val="24"/>
        </w:rPr>
        <w:t>号的招投标</w:t>
      </w:r>
      <w:r>
        <w:rPr>
          <w:rFonts w:hint="default" w:ascii="Times New Roman" w:hAnsi="Times New Roman" w:cs="Times New Roman"/>
          <w:color w:val="000000"/>
          <w:sz w:val="24"/>
        </w:rPr>
        <w:t>文件或与本次采购活动方式相适应的文件及有关附件是本合同不可分割的组成部分，与本合同具有同等法律效力，这些文件包括但不限于：</w:t>
      </w:r>
    </w:p>
    <w:p w14:paraId="013E3180">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1、乙方提供的投标文件和投标报价表；</w:t>
      </w:r>
    </w:p>
    <w:p w14:paraId="6240EDAF">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2、供货一览表；</w:t>
      </w:r>
    </w:p>
    <w:p w14:paraId="4524D16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3、交货地点一览表；</w:t>
      </w:r>
    </w:p>
    <w:p w14:paraId="6064606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4、技术规格响应表；</w:t>
      </w:r>
    </w:p>
    <w:p w14:paraId="7105A162">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5、投标承诺；</w:t>
      </w:r>
    </w:p>
    <w:p w14:paraId="35266648">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6、服务承诺；</w:t>
      </w:r>
    </w:p>
    <w:p w14:paraId="6C6FCBCE">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7、中标通知书；</w:t>
      </w:r>
    </w:p>
    <w:p w14:paraId="1124D61F">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8、甲乙双方商定的其他文件。</w:t>
      </w:r>
    </w:p>
    <w:p w14:paraId="348D02FE">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第四条 权利保证</w:t>
      </w:r>
    </w:p>
    <w:p w14:paraId="340977D0">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采购人在中华人民共和国境内使用成交供应商提供的货物及服务时免受第三方提出的侵犯其专利权或其它知识产权的起诉。如果第三方提出侵权指控，成交供应商应承担由此而引起的一切法律责任和费用，包括</w:t>
      </w:r>
      <w:r>
        <w:rPr>
          <w:rFonts w:hint="default" w:ascii="Times New Roman" w:hAnsi="Times New Roman" w:cs="Times New Roman"/>
          <w:color w:val="000000"/>
          <w:sz w:val="24"/>
          <w:lang w:val="en-US" w:eastAsia="zh-CN"/>
        </w:rPr>
        <w:t>但不限于</w:t>
      </w:r>
      <w:r>
        <w:rPr>
          <w:rFonts w:hint="default" w:ascii="Times New Roman" w:hAnsi="Times New Roman" w:cs="Times New Roman"/>
          <w:color w:val="000000"/>
          <w:sz w:val="24"/>
        </w:rPr>
        <w:t>诉讼费、律师费、鉴定费、差旅费等。</w:t>
      </w:r>
    </w:p>
    <w:p w14:paraId="43DED9EC">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第五条　质量保证</w:t>
      </w:r>
    </w:p>
    <w:p w14:paraId="6C036014">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乙方所提供的货物的技术规格应与招标文件规定的技术规格及所附的“技术规格响应表”相一致；若技术性能无特殊说明，质量应符合国家标准、行业标准、企业标准及相应的技术规范要求中要求最高的标准。</w:t>
      </w:r>
    </w:p>
    <w:p w14:paraId="1C2D0F1E">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乙方应保证货物是全新、未使用过的原装合格正品，并完全符合合同规定的质量、规格和性能的要求。乙方应保证其提供的货物在正确安装、正常使用和保养条件下，在其使用寿命内具有良好的性能。货物验收后，在质量保证期内，乙方应对由于设计、工艺或材料的缺陷所发生的任何不足或故障负责，所需费用由乙方承担。</w:t>
      </w:r>
    </w:p>
    <w:p w14:paraId="6D07B99C">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3、交付使用前发生的货物损坏或不合格，一律退换新品。在保修期内发生的设备损坏或性能不合格（非使用不当原因造成），除甲方同意修理外，应退换新品。</w:t>
      </w:r>
    </w:p>
    <w:p w14:paraId="345230B6">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根据相关质量检验部门检验结果或者在质量保证期内，如果货物的数量、质量或规格与合同不符，或证明货物是有缺陷的，包括潜在的缺陷或使用不符合要求的材料等，甲方有权以书面形式向乙方提出索赔。对达不到技术要求者，根据实际情况，经双方协商，可按以下情况进行处理：</w:t>
      </w:r>
    </w:p>
    <w:p w14:paraId="4530C9D2">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w:t>
      </w:r>
      <w:r>
        <w:rPr>
          <w:rFonts w:hint="default" w:ascii="Times New Roman" w:hAnsi="Times New Roman" w:cs="Times New Roman"/>
          <w:color w:val="000000"/>
          <w:sz w:val="24"/>
          <w:lang w:val="en-US" w:eastAsia="zh-CN"/>
        </w:rPr>
        <w:t>免费</w:t>
      </w:r>
      <w:r>
        <w:rPr>
          <w:rFonts w:hint="default" w:ascii="Times New Roman" w:hAnsi="Times New Roman" w:cs="Times New Roman"/>
          <w:color w:val="000000"/>
          <w:sz w:val="24"/>
        </w:rPr>
        <w:t>更换：乙方无条件更换新品，且更换周期不得超过 5 个工作日</w:t>
      </w:r>
      <w:r>
        <w:rPr>
          <w:rFonts w:hint="default" w:ascii="Times New Roman" w:hAnsi="Times New Roman" w:cs="Times New Roman"/>
          <w:color w:val="000000"/>
          <w:sz w:val="24"/>
          <w:lang w:eastAsia="zh-CN"/>
        </w:rPr>
        <w:t>，</w:t>
      </w:r>
      <w:r>
        <w:rPr>
          <w:rFonts w:hint="default" w:ascii="Times New Roman" w:hAnsi="Times New Roman" w:cs="Times New Roman"/>
          <w:color w:val="000000"/>
          <w:sz w:val="24"/>
        </w:rPr>
        <w:t>由乙方承担因更换货物所发生的全部费用。</w:t>
      </w:r>
    </w:p>
    <w:p w14:paraId="78DB6500">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（2）贬值处理：由甲乙双方合议定价。</w:t>
      </w:r>
    </w:p>
    <w:p w14:paraId="71E91EA2">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退货处理：乙方应退还甲方支付相应货物的合同款，同时应承担因退还该货物所产生的直接费用（包括但不限于运输、保险、检验、货款利息及银行手续费等）。如果造成其他损失的，乙方应承担相应的损失。</w:t>
      </w:r>
    </w:p>
    <w:p w14:paraId="2318F7D1">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5、乙方在收到通知后，应在合同中所附服务承诺约定的时间内主动协助甲方对货物免费维修、更换有缺陷的货物或部件</w:t>
      </w:r>
      <w:r>
        <w:rPr>
          <w:rFonts w:hint="default" w:ascii="Times New Roman" w:hAnsi="Times New Roman" w:cs="Times New Roman"/>
          <w:color w:val="000000"/>
          <w:sz w:val="24"/>
          <w:lang w:eastAsia="zh-CN"/>
        </w:rPr>
        <w:t>，维修更换后仍无法正常使用的，甲方有权要求退货</w:t>
      </w:r>
      <w:r>
        <w:rPr>
          <w:rFonts w:hint="default" w:ascii="Times New Roman" w:hAnsi="Times New Roman" w:cs="Times New Roman"/>
          <w:color w:val="000000"/>
          <w:sz w:val="24"/>
          <w:lang w:val="en-US" w:eastAsia="zh-CN"/>
        </w:rPr>
        <w:t>退款</w:t>
      </w:r>
      <w:r>
        <w:rPr>
          <w:rFonts w:hint="default" w:ascii="Times New Roman" w:hAnsi="Times New Roman" w:cs="Times New Roman"/>
          <w:color w:val="000000"/>
          <w:sz w:val="24"/>
        </w:rPr>
        <w:t>。</w:t>
      </w:r>
    </w:p>
    <w:p w14:paraId="134FD735">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6、如果乙方在收到通知后，在合同中所附服务承诺约定的时间内没有弥补缺陷，甲方可采取必要的补救措施，但风险和费用将由乙方承担。</w:t>
      </w:r>
    </w:p>
    <w:p w14:paraId="18C80D9B">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 xml:space="preserve">第六条 </w:t>
      </w:r>
      <w:r>
        <w:rPr>
          <w:rFonts w:hint="default" w:ascii="Times New Roman" w:hAnsi="Times New Roman" w:cs="Times New Roman"/>
          <w:b/>
          <w:bCs/>
          <w:sz w:val="24"/>
        </w:rPr>
        <w:t>货物包装、发运及运输</w:t>
      </w:r>
    </w:p>
    <w:p w14:paraId="368F1A36">
      <w:pPr>
        <w:spacing w:line="520" w:lineRule="exact"/>
        <w:ind w:firstLine="480"/>
        <w:rPr>
          <w:rFonts w:hint="default" w:ascii="Times New Roman" w:hAnsi="Times New Roman" w:cs="Times New Roman"/>
          <w:bCs/>
          <w:sz w:val="24"/>
        </w:rPr>
      </w:pPr>
      <w:r>
        <w:rPr>
          <w:rFonts w:hint="default" w:ascii="Times New Roman" w:hAnsi="Times New Roman" w:cs="Times New Roman"/>
          <w:color w:val="000000"/>
          <w:sz w:val="24"/>
        </w:rPr>
        <w:t>1、除合同另有规定外，乙方提供的全部货物均应按标准保护措施进行包装。该包装应适应于远距离运输、防潮、防震和防野蛮装卸，以确保货物安全无损运抵指定地点，</w:t>
      </w:r>
      <w:r>
        <w:rPr>
          <w:rFonts w:hint="default" w:ascii="Times New Roman" w:hAnsi="Times New Roman" w:cs="Times New Roman"/>
          <w:bCs/>
          <w:sz w:val="24"/>
        </w:rPr>
        <w:t>产品须按甲方要求方式和提供的清单进行包装和运输，</w:t>
      </w:r>
      <w:r>
        <w:rPr>
          <w:rFonts w:hint="default" w:ascii="Times New Roman" w:hAnsi="Times New Roman" w:cs="Times New Roman"/>
          <w:color w:val="000000"/>
          <w:sz w:val="24"/>
        </w:rPr>
        <w:t>由于包装不善所引起的货物损失均由乙方承担。</w:t>
      </w:r>
    </w:p>
    <w:p w14:paraId="6D39BE1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2、每一包装单元内应附详细的装箱单、使用说明书、随配附件和工具等。</w:t>
      </w:r>
    </w:p>
    <w:p w14:paraId="4E714BCB">
      <w:pPr>
        <w:spacing w:line="520" w:lineRule="exact"/>
        <w:ind w:firstLine="480"/>
        <w:rPr>
          <w:rFonts w:hint="default" w:ascii="Times New Roman" w:hAnsi="Times New Roman" w:cs="Times New Roman"/>
          <w:bCs/>
          <w:sz w:val="24"/>
        </w:rPr>
      </w:pPr>
      <w:r>
        <w:rPr>
          <w:rFonts w:hint="default" w:ascii="Times New Roman" w:hAnsi="Times New Roman" w:cs="Times New Roman"/>
          <w:color w:val="000000"/>
          <w:sz w:val="24"/>
        </w:rPr>
        <w:t>3、</w:t>
      </w:r>
      <w:r>
        <w:rPr>
          <w:rFonts w:hint="default" w:ascii="Times New Roman" w:hAnsi="Times New Roman" w:cs="Times New Roman"/>
          <w:bCs/>
          <w:sz w:val="24"/>
        </w:rPr>
        <w:t>乙方在货物发运手续办理完毕后24小时内或货到甲方48小时前通知甲方，以准备接货。</w:t>
      </w:r>
    </w:p>
    <w:p w14:paraId="508D68F9">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4、货物在交付甲方前发生的风险均由乙方负责。</w:t>
      </w:r>
    </w:p>
    <w:p w14:paraId="2FB24E84">
      <w:pPr>
        <w:spacing w:line="520" w:lineRule="exact"/>
        <w:ind w:firstLine="480"/>
        <w:rPr>
          <w:rFonts w:hint="default" w:ascii="Times New Roman" w:hAnsi="Times New Roman" w:cs="Times New Roman"/>
          <w:bCs/>
          <w:sz w:val="24"/>
        </w:rPr>
      </w:pPr>
      <w:r>
        <w:rPr>
          <w:rFonts w:hint="default" w:ascii="Times New Roman" w:hAnsi="Times New Roman" w:cs="Times New Roman"/>
          <w:color w:val="000000"/>
          <w:sz w:val="24"/>
        </w:rPr>
        <w:t>5、</w:t>
      </w:r>
      <w:r>
        <w:rPr>
          <w:rFonts w:hint="default" w:ascii="Times New Roman" w:hAnsi="Times New Roman" w:cs="Times New Roman"/>
          <w:bCs/>
          <w:sz w:val="24"/>
        </w:rPr>
        <w:t>货物在规定的交付期限内由乙方送达甲方指定的地点，待甲方验收合格后视为交付，乙方同时需通知甲方货物已送达。</w:t>
      </w:r>
    </w:p>
    <w:p w14:paraId="4F019B01">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第七条　交货</w:t>
      </w:r>
    </w:p>
    <w:p w14:paraId="3DBEDED7">
      <w:pPr>
        <w:spacing w:line="520" w:lineRule="exact"/>
        <w:ind w:firstLine="480"/>
        <w:rPr>
          <w:rFonts w:hint="default" w:ascii="Times New Roman" w:hAnsi="Times New Roman" w:cs="Times New Roman"/>
          <w:sz w:val="24"/>
        </w:rPr>
      </w:pPr>
      <w:r>
        <w:rPr>
          <w:rFonts w:hint="default" w:ascii="Times New Roman" w:hAnsi="Times New Roman" w:cs="Times New Roman"/>
          <w:color w:val="000000"/>
          <w:sz w:val="24"/>
        </w:rPr>
        <w:t>1、乙方于合同签订之日起</w:t>
      </w:r>
      <w:r>
        <w:rPr>
          <w:rFonts w:hint="default" w:ascii="Times New Roman" w:hAnsi="Times New Roman" w:cs="Times New Roman"/>
          <w:color w:val="000000"/>
          <w:sz w:val="24"/>
          <w:u w:val="single"/>
        </w:rPr>
        <w:t xml:space="preserve">    </w:t>
      </w:r>
      <w:r>
        <w:rPr>
          <w:rFonts w:hint="default" w:ascii="Times New Roman" w:hAnsi="Times New Roman" w:cs="Times New Roman"/>
          <w:color w:val="000000"/>
          <w:sz w:val="24"/>
        </w:rPr>
        <w:t>日历日内将货物交付甲方，交货地点为</w:t>
      </w:r>
      <w:r>
        <w:rPr>
          <w:rFonts w:hint="default" w:ascii="Times New Roman" w:hAnsi="Times New Roman" w:cs="Times New Roman"/>
          <w:color w:val="000000"/>
          <w:sz w:val="24"/>
          <w:u w:val="single"/>
        </w:rPr>
        <w:t xml:space="preserve">  江苏省方山体育训练基地 </w:t>
      </w:r>
      <w:r>
        <w:rPr>
          <w:rFonts w:hint="default" w:ascii="Times New Roman" w:hAnsi="Times New Roman" w:cs="Times New Roman"/>
          <w:color w:val="000000"/>
          <w:sz w:val="24"/>
        </w:rPr>
        <w:t xml:space="preserve"> 。</w:t>
      </w:r>
      <w:r>
        <w:rPr>
          <w:rFonts w:hint="default" w:ascii="Times New Roman" w:hAnsi="Times New Roman" w:cs="Times New Roman"/>
          <w:sz w:val="24"/>
        </w:rPr>
        <w:t>有关运输、保险和调换等一切相关的费用由乙方承担。</w:t>
      </w:r>
    </w:p>
    <w:p w14:paraId="419A4774">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乙方交付的货物应当完全符合本合同或者招投标文件所规定的货物、数量和规格要求。乙方不得少交或多交货物。乙方提供的货物不符合招投标文件和合同规定的，甲方有权拒收货物，由此引起的风险，由乙方承担。</w:t>
      </w:r>
    </w:p>
    <w:p w14:paraId="08F486B7">
      <w:pPr>
        <w:spacing w:line="520" w:lineRule="exact"/>
        <w:ind w:firstLine="480"/>
        <w:rPr>
          <w:rFonts w:hint="default" w:ascii="Times New Roman" w:hAnsi="Times New Roman" w:cs="Times New Roman"/>
          <w:sz w:val="24"/>
        </w:rPr>
      </w:pPr>
      <w:r>
        <w:rPr>
          <w:rFonts w:hint="default" w:ascii="Times New Roman" w:hAnsi="Times New Roman" w:cs="Times New Roman"/>
          <w:color w:val="000000"/>
          <w:sz w:val="24"/>
        </w:rPr>
        <w:t>3、</w:t>
      </w:r>
      <w:r>
        <w:rPr>
          <w:rFonts w:hint="default" w:ascii="Times New Roman" w:hAnsi="Times New Roman" w:cs="Times New Roman"/>
          <w:sz w:val="24"/>
        </w:rPr>
        <w:t>乙方交货前应对产品做出全面检查和对验收文件进行整理，乙方应向甲方提供与货物相关的单证和工具（包括但不限于发票、装箱清单、用户手册、原厂保修卡、随机资料及配件、随机工具等；乙方不能完整交付货物及本款规定的单证和工具的，视为未按合同约定交货，乙方负责补齐，因此导致逾期交付的，由乙方承担相关的违约责任），作为甲方收货验收和使用的技术条件依据，检验的结果应随货物交甲方。</w:t>
      </w:r>
    </w:p>
    <w:p w14:paraId="3676E9F8">
      <w:pPr>
        <w:pStyle w:val="2"/>
        <w:rPr>
          <w:rFonts w:hint="default" w:ascii="Times New Roman" w:hAnsi="Times New Roman" w:eastAsia="宋体" w:cs="Times New Roman"/>
          <w:lang w:val="en-US" w:eastAsia="zh-CN"/>
        </w:rPr>
      </w:pPr>
      <w:r>
        <w:rPr>
          <w:rFonts w:hint="default" w:ascii="Times New Roman" w:hAnsi="Times New Roman" w:cs="Times New Roman"/>
          <w:sz w:val="24"/>
          <w:lang w:val="en-US" w:eastAsia="zh-CN"/>
        </w:rPr>
        <w:t xml:space="preserve">    4、乙方须配合甲方卸货、清点，卸货时发现包装破损的，甲方有权开箱检查，确认货物损坏的可直接拒收。</w:t>
      </w:r>
    </w:p>
    <w:p w14:paraId="4569C966">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第八条　伴随服务／售后服务</w:t>
      </w:r>
    </w:p>
    <w:p w14:paraId="2A01FEB4">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1、乙方应按照国家有关法律法规规章和“三包”规定以及合同所附的“服务承诺”提供服务。</w:t>
      </w:r>
    </w:p>
    <w:p w14:paraId="2A6AD5B2">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2、除前款规定外，乙方还应提供下列服务：</w:t>
      </w:r>
    </w:p>
    <w:p w14:paraId="3FD1110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（1）货物的现场安装、调试和/或启动监督；</w:t>
      </w:r>
    </w:p>
    <w:p w14:paraId="1D0F6A6A">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（2）就货物的安装、启动、运行及维护等对甲方人员进行免费培训。</w:t>
      </w:r>
    </w:p>
    <w:p w14:paraId="6637C043">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3、除招标文件中的相关伴随服务或售后服务承诺外，双方还作如下约定：</w:t>
      </w:r>
    </w:p>
    <w:p w14:paraId="031033E8">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乙方应为甲方提供免费培训服务，并指派专人负责与甲方联系售后服务事宜。主要培训内容为货物的基本结构、性能、主要部件的构造及处理，日常使用操作、保养与管理、常见故障的排除、紧急情况的处理等，如甲方未使用过同类型货物，乙方还需就货物的功能对甲方人员进行相应的技术培训，培训地点主要在货物安装现场或由甲方安排。</w:t>
      </w:r>
    </w:p>
    <w:p w14:paraId="4755B4F3">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（2）乙方提供</w:t>
      </w:r>
      <w:r>
        <w:rPr>
          <w:rFonts w:hint="default" w:ascii="Times New Roman" w:hAnsi="Times New Roman" w:cs="Times New Roman"/>
          <w:color w:val="000000"/>
          <w:sz w:val="24"/>
          <w:u w:val="single"/>
        </w:rPr>
        <w:t xml:space="preserve">   </w:t>
      </w:r>
      <w:r>
        <w:rPr>
          <w:rFonts w:hint="default" w:ascii="Times New Roman" w:hAnsi="Times New Roman" w:cs="Times New Roman"/>
          <w:color w:val="000000"/>
          <w:sz w:val="24"/>
        </w:rPr>
        <w:t>年免费质保（自验收合格之日起算）。保修期内，乙方负责对其提供的货物整机进行维修和系统维护，不再收取任何费用，但不可抗力（如火灾、雷击等）造成的故障除外。</w:t>
      </w:r>
    </w:p>
    <w:p w14:paraId="0498DF93">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（3）在质保期内，乙方负责为甲方提供免费技术培训和现场技术指导。</w:t>
      </w:r>
    </w:p>
    <w:p w14:paraId="44BE1C25">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（4）如在使用过程中发生质量问题，乙方在4小时内予以回应，在质量保修期内设备发生故障必须在得到通知后24小时内派人到现场解决。</w:t>
      </w:r>
    </w:p>
    <w:p w14:paraId="3F95394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如因乙方提供的货物硬件或软件有缺陷，或乙方提供的技术资料有错误，或乙方在现场的技术人员指导有错误而使合同货物不能达到合同规定的指标和技术性能，乙方应负责修理或更换有缺陷和损坏的货物硬件或软件，使合同货物运行指标和技术性能达到合同规定，由此引起的全部费用由乙方承担。</w:t>
      </w:r>
    </w:p>
    <w:p w14:paraId="33E7FCCC">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（6）在合同货物保修期内，如果由于乙方更换、修理和续补货物，而造成本合同货物不得不停止运行，货物保修期应依照停止运行的实际时间加以延长，如因此给甲方造成损失，乙方应负责赔偿。</w:t>
      </w:r>
    </w:p>
    <w:p w14:paraId="002ED136">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7）所有货物保修服务方式均为乙方上门保修，即由乙方派员到货物使用现场维修，由此产生的一切费用均由乙方承担。如乙方在接到甲方通知后不到场，则甲方有权聘请其他技术人员到场进行技术支持，相关费用由乙方承担，甲方有权在尾款中直接扣除相关费用。</w:t>
      </w:r>
    </w:p>
    <w:p w14:paraId="1222EBA4">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第九条　调试和验收</w:t>
      </w:r>
    </w:p>
    <w:p w14:paraId="638D07E1">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1、甲方对乙方提交的货物依据招投标文件上的技术规格要求和国家有关质量标准进行现场初步验收，包括：型号、规格、数量、外观质量及货物包装是否完好。货到后，甲方需在五个工作日内组织到货验收。</w:t>
      </w:r>
    </w:p>
    <w:p w14:paraId="19A8D966">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2、乙方根据招标要求进行产品安装、调试、测试、试运行，直到符合技术要求后，向甲方提出验收申请。在乙方申请验收后</w:t>
      </w:r>
      <w:r>
        <w:rPr>
          <w:rFonts w:hint="default" w:ascii="Times New Roman" w:hAnsi="Times New Roman" w:cs="Times New Roman"/>
          <w:color w:val="000000"/>
          <w:sz w:val="24"/>
          <w:lang w:val="en-US" w:eastAsia="zh-CN"/>
        </w:rPr>
        <w:t>十</w:t>
      </w:r>
      <w:r>
        <w:rPr>
          <w:rFonts w:hint="default" w:ascii="Times New Roman" w:hAnsi="Times New Roman" w:cs="Times New Roman"/>
          <w:color w:val="000000"/>
          <w:sz w:val="24"/>
        </w:rPr>
        <w:t>个工作日内，由甲方或甲方聘请技术专家或专业检测机构进行项目最终验收。因此支出的相关费用（包括但不限于检测费用及出具质量检测报告费用等）由甲乙双方协商解决。验收合格后甲方方可启动使用设备。</w:t>
      </w:r>
    </w:p>
    <w:p w14:paraId="2E97D5F7">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3、货物验收的标准：按行业通行标准、厂方出厂标准和乙方投标文件的承诺。</w:t>
      </w:r>
    </w:p>
    <w:p w14:paraId="1A983B47">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4、验收时乙方必须在现场，验收完毕后作出验收结果报告。</w:t>
      </w:r>
    </w:p>
    <w:p w14:paraId="520C0633">
      <w:pPr>
        <w:pStyle w:val="2"/>
        <w:rPr>
          <w:rFonts w:hint="default" w:ascii="Times New Roman" w:hAnsi="Times New Roman" w:eastAsia="宋体" w:cs="Times New Roman"/>
          <w:lang w:val="en-US" w:eastAsia="zh-CN"/>
        </w:rPr>
      </w:pPr>
      <w:r>
        <w:rPr>
          <w:rFonts w:hint="default" w:ascii="Times New Roman" w:hAnsi="Times New Roman" w:cs="Times New Roman"/>
          <w:color w:val="000000"/>
          <w:sz w:val="24"/>
          <w:lang w:val="en-US" w:eastAsia="zh-CN"/>
        </w:rPr>
        <w:t xml:space="preserve">    5、因乙方原因（如资料不全、安装调试未完成等）导致甲方无法按期验收的，相关责任及后果由乙方承担。甲方的验收行为不视为对乙方任何履约瑕疵的豁免，即便甲方已出具验收合格文件，若在后期的使用中发现货物存在在验收时无法发现的隐蔽瑕疵，乙方仍应依法承担违约责任。</w:t>
      </w:r>
    </w:p>
    <w:p w14:paraId="2F0255F7">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第十条　履约保证金</w:t>
      </w:r>
    </w:p>
    <w:p w14:paraId="346FB41D">
      <w:pPr>
        <w:spacing w:line="500" w:lineRule="exact"/>
        <w:ind w:firstLine="480"/>
        <w:rPr>
          <w:rFonts w:hint="default" w:ascii="Times New Roman" w:hAnsi="Times New Roman" w:cs="Times New Roman"/>
          <w:color w:val="000000"/>
          <w:sz w:val="24"/>
          <w:highlight w:val="none"/>
          <w:lang w:val="en-US" w:eastAsia="zh-CN"/>
        </w:rPr>
      </w:pPr>
      <w:r>
        <w:rPr>
          <w:rFonts w:hint="default" w:ascii="Times New Roman" w:hAnsi="Times New Roman" w:cs="Times New Roman"/>
          <w:color w:val="000000"/>
          <w:sz w:val="24"/>
          <w:highlight w:val="none"/>
          <w:lang w:val="en-US" w:eastAsia="zh-CN"/>
        </w:rPr>
        <w:t>本项目不收取履约保证金。</w:t>
      </w:r>
    </w:p>
    <w:p w14:paraId="0CA5ABDF">
      <w:pPr>
        <w:spacing w:line="500" w:lineRule="exact"/>
        <w:ind w:firstLine="482"/>
        <w:rPr>
          <w:rFonts w:hint="default" w:ascii="Times New Roman" w:hAnsi="Times New Roman" w:cs="Times New Roman"/>
          <w:b/>
          <w:sz w:val="24"/>
        </w:rPr>
      </w:pPr>
      <w:r>
        <w:rPr>
          <w:rFonts w:hint="default" w:ascii="Times New Roman" w:hAnsi="Times New Roman" w:cs="Times New Roman"/>
          <w:b/>
          <w:color w:val="000000"/>
          <w:sz w:val="24"/>
        </w:rPr>
        <w:t>第十一条　</w:t>
      </w:r>
      <w:r>
        <w:rPr>
          <w:rFonts w:hint="default" w:ascii="Times New Roman" w:hAnsi="Times New Roman" w:cs="Times New Roman"/>
          <w:b/>
          <w:sz w:val="24"/>
        </w:rPr>
        <w:t>货款支付</w:t>
      </w:r>
    </w:p>
    <w:p w14:paraId="548EF120">
      <w:pPr>
        <w:spacing w:line="482" w:lineRule="exact"/>
        <w:ind w:firstLine="480"/>
        <w:rPr>
          <w:rFonts w:hint="default" w:ascii="Times New Roman" w:hAnsi="Times New Roman" w:cs="Times New Roman"/>
          <w:sz w:val="24"/>
        </w:rPr>
      </w:pPr>
      <w:r>
        <w:rPr>
          <w:rFonts w:hint="default" w:ascii="Times New Roman" w:hAnsi="Times New Roman" w:cs="Times New Roman"/>
          <w:sz w:val="24"/>
        </w:rPr>
        <w:t>1、本合同所有款项均以人民币支付；</w:t>
      </w:r>
    </w:p>
    <w:p w14:paraId="3D506D2E">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生效后10个工作日内，甲方支付合同总价款的50%作为预付款；全部货物按期交付送至甲方指定地点，全部货物安装、调试完毕并经甲方验收合格完毕后，凭甲方加盖公章的验收报告、乙方所提供的真实、合法的销售发票等，甲方在20个工作日内支付合同总价款的50%。</w:t>
      </w:r>
    </w:p>
    <w:p w14:paraId="0BAF204C">
      <w:pPr>
        <w:spacing w:line="520" w:lineRule="exact"/>
        <w:ind w:firstLine="480"/>
        <w:rPr>
          <w:rFonts w:hint="default" w:ascii="Times New Roman" w:hAnsi="Times New Roman" w:cs="Times New Roman"/>
          <w:sz w:val="24"/>
        </w:rPr>
      </w:pPr>
      <w:r>
        <w:rPr>
          <w:rFonts w:hint="default" w:ascii="Times New Roman" w:hAnsi="Times New Roman" w:cs="Times New Roman"/>
          <w:sz w:val="24"/>
        </w:rPr>
        <w:t>2、如乙方根据本合同规定有责任向甲方支付违约金或其它赔偿时，甲方在书面通知乙方后，有权从上述付款中扣除该等款项。</w:t>
      </w:r>
    </w:p>
    <w:p w14:paraId="4FCF038B">
      <w:pPr>
        <w:spacing w:line="520" w:lineRule="exact"/>
        <w:ind w:firstLine="480"/>
        <w:rPr>
          <w:rFonts w:hint="default" w:ascii="Times New Roman" w:hAnsi="Times New Roman" w:cs="Times New Roman"/>
          <w:sz w:val="24"/>
          <w:u w:val="single"/>
        </w:rPr>
      </w:pPr>
      <w:r>
        <w:rPr>
          <w:rFonts w:hint="default" w:ascii="Times New Roman" w:hAnsi="Times New Roman" w:cs="Times New Roman"/>
          <w:sz w:val="24"/>
        </w:rPr>
        <w:t>3、</w:t>
      </w:r>
      <w:r>
        <w:rPr>
          <w:rFonts w:hint="default" w:ascii="Times New Roman" w:hAnsi="Times New Roman" w:cs="Times New Roman"/>
          <w:sz w:val="24"/>
          <w:lang w:val="en-US" w:eastAsia="zh-CN"/>
        </w:rPr>
        <w:t>乙方接收货款</w:t>
      </w:r>
      <w:r>
        <w:rPr>
          <w:rFonts w:hint="default" w:ascii="Times New Roman" w:hAnsi="Times New Roman" w:cs="Times New Roman"/>
          <w:sz w:val="24"/>
        </w:rPr>
        <w:t>账号：</w:t>
      </w:r>
      <w:r>
        <w:rPr>
          <w:rFonts w:hint="default" w:ascii="Times New Roman" w:hAnsi="Times New Roman" w:cs="Times New Roman"/>
          <w:sz w:val="24"/>
          <w:u w:val="single"/>
        </w:rPr>
        <w:t xml:space="preserve">          </w:t>
      </w:r>
    </w:p>
    <w:p w14:paraId="6213FEDB">
      <w:pPr>
        <w:spacing w:line="520" w:lineRule="exact"/>
        <w:ind w:firstLine="1804"/>
        <w:rPr>
          <w:rFonts w:hint="default" w:ascii="Times New Roman" w:hAnsi="Times New Roman" w:cs="Times New Roman"/>
          <w:sz w:val="24"/>
        </w:rPr>
      </w:pPr>
      <w:r>
        <w:rPr>
          <w:rFonts w:hint="default" w:ascii="Times New Roman" w:hAnsi="Times New Roman" w:cs="Times New Roman"/>
          <w:sz w:val="24"/>
        </w:rPr>
        <w:t>开户行：</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p w14:paraId="068A6EF7">
      <w:pPr>
        <w:spacing w:line="520" w:lineRule="exact"/>
        <w:ind w:firstLine="1804"/>
        <w:rPr>
          <w:rFonts w:hint="default" w:ascii="Times New Roman" w:hAnsi="Times New Roman" w:cs="Times New Roman"/>
          <w:sz w:val="24"/>
        </w:rPr>
      </w:pPr>
      <w:r>
        <w:rPr>
          <w:rFonts w:hint="default" w:ascii="Times New Roman" w:hAnsi="Times New Roman" w:cs="Times New Roman"/>
          <w:sz w:val="24"/>
        </w:rPr>
        <w:t>户  名：</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p w14:paraId="08810DB2">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第十二条 违约责任</w:t>
      </w:r>
    </w:p>
    <w:p w14:paraId="195A003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1、如乙方不能交付货物，乙方应向甲方支付合同总价5%的违约金。</w:t>
      </w:r>
    </w:p>
    <w:p w14:paraId="1052C26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 xml:space="preserve">2、乙方逾期交付货物的，每逾期1天，乙方向甲方偿付逾期交货部分货款总额5‰的滞纳金。如乙方逾期交货达（10）天，甲方有权解除合同，解除合同的通知自到达乙方时生效。因乙方逾期交货或因其他违约行为导致甲方解除合同的，乙方应向甲方支付合同总值5%的违约金，如造成甲方损失超过违约金的，超出部分由乙方继续承担赔偿责任。 </w:t>
      </w:r>
    </w:p>
    <w:p w14:paraId="22EA70BD">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3、乙方所交的货物品种、型号、规格、技术参数、质量不符合合同规定及</w:t>
      </w:r>
      <w:r>
        <w:rPr>
          <w:rFonts w:hint="default" w:ascii="Times New Roman" w:hAnsi="Times New Roman" w:cs="Times New Roman"/>
          <w:sz w:val="24"/>
        </w:rPr>
        <w:t>招投标</w:t>
      </w:r>
      <w:r>
        <w:rPr>
          <w:rFonts w:hint="default" w:ascii="Times New Roman" w:hAnsi="Times New Roman" w:cs="Times New Roman"/>
          <w:bCs/>
          <w:sz w:val="24"/>
        </w:rPr>
        <w:t>文件规定标准的，甲方有权拒收该货物，甲方拒收的，乙方应向甲方支付货款总额5%的违约金。乙方愿意更换货物但逾期交货的，按乙方逾期交货处理。因此产生的一切费用由乙方承担。乙方拒绝更换货物的，甲方可单方面解除合同。</w:t>
      </w:r>
    </w:p>
    <w:p w14:paraId="146848B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4、在乙方承诺的或国家规定的质量保证期内（取两者中最长的期限），如经乙方两次维修或更换，货物仍不能达到合同约定的质量标准，甲方有权退货，乙方应退回全部货款，并按第十二条第2款处理，同时，乙方还须赔偿甲方因此遭受的损失。</w:t>
      </w:r>
    </w:p>
    <w:p w14:paraId="35C806D8">
      <w:pPr>
        <w:spacing w:line="520" w:lineRule="exact"/>
        <w:ind w:firstLine="480"/>
        <w:rPr>
          <w:rFonts w:hint="default" w:ascii="Times New Roman" w:hAnsi="Times New Roman" w:cs="Times New Roman"/>
          <w:bCs/>
          <w:sz w:val="24"/>
        </w:rPr>
      </w:pPr>
      <w:r>
        <w:rPr>
          <w:rFonts w:hint="default" w:ascii="Times New Roman" w:hAnsi="Times New Roman" w:cs="Times New Roman"/>
          <w:color w:val="000000"/>
          <w:sz w:val="24"/>
        </w:rPr>
        <w:t>6、</w:t>
      </w:r>
      <w:r>
        <w:rPr>
          <w:rFonts w:hint="default" w:ascii="Times New Roman" w:hAnsi="Times New Roman" w:cs="Times New Roman"/>
          <w:bCs/>
          <w:sz w:val="24"/>
        </w:rPr>
        <w:t>乙方未按本合同的规定和“服务承诺”提供伴随服务/售后服务的，每发生一次，应向甲方支付合同总价款</w:t>
      </w:r>
      <w:r>
        <w:rPr>
          <w:rFonts w:hint="default" w:ascii="Times New Roman" w:hAnsi="Times New Roman" w:cs="Times New Roman"/>
          <w:bCs/>
          <w:sz w:val="24"/>
          <w:lang w:val="en-US" w:eastAsia="zh-CN"/>
        </w:rPr>
        <w:t>2</w:t>
      </w:r>
      <w:r>
        <w:rPr>
          <w:rFonts w:hint="default" w:ascii="Times New Roman" w:hAnsi="Times New Roman" w:cs="Times New Roman"/>
          <w:bCs/>
          <w:sz w:val="24"/>
        </w:rPr>
        <w:t>%的违约金；因乙方售后服务不到位给甲方造成损失的，乙方应予以赔偿。。</w:t>
      </w:r>
    </w:p>
    <w:p w14:paraId="6D665D35">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7、乙方在承担上述2-7款一项或多项违约责任后，仍应继续履行合同规定的义务（甲方解除合同的除外）。甲方未能及时追究乙方的任何一项违约责任并不表明甲方放弃追究乙方该项或其他违约责任。</w:t>
      </w:r>
    </w:p>
    <w:p w14:paraId="57D986B7">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 xml:space="preserve">第十三条 合同的变更和终止 </w:t>
      </w:r>
    </w:p>
    <w:p w14:paraId="5801384A">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除《政府采购法》第49条、第50条第二款规定的情形外，本合同一经签订，双方当事人不得擅自变更、中止或终止合同。</w:t>
      </w:r>
    </w:p>
    <w:p w14:paraId="6E86491E">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第十四条 合同的转让</w:t>
      </w:r>
    </w:p>
    <w:p w14:paraId="2FC7BF7A">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乙方不得擅自部分或全部转让其应履行的合同义务。</w:t>
      </w:r>
    </w:p>
    <w:p w14:paraId="1128BE30">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第十五条 不可抗力事件处理</w:t>
      </w:r>
    </w:p>
    <w:p w14:paraId="00608613">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 在合同有效期内，任何一方因不可抗力事件导致不能履行合同，则合同履行期可延长，其延长期与不可抗力影响期相同。</w:t>
      </w:r>
    </w:p>
    <w:p w14:paraId="2D8B8CBC">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 不可抗力事件发生后，应立即通知对方，并寄送有关权威机构出具的证明。</w:t>
      </w:r>
    </w:p>
    <w:p w14:paraId="7C1B0FD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3、 不可抗力事件延续120天以上，双方应通过友好协商，确定是否继续履行合同。</w:t>
      </w:r>
    </w:p>
    <w:p w14:paraId="69DE85A2">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第十六条 争议的解决</w:t>
      </w:r>
    </w:p>
    <w:p w14:paraId="4AD7DFD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1、因货物的质量问题发生争议的，应当邀请国家认可的质量检测机构对货物质量进行鉴定，鉴定费用由乙方先行垫付。货物符合标准的，鉴定费用由甲方承担；货物不符合质量标准的，鉴定费由乙方承担。</w:t>
      </w:r>
    </w:p>
    <w:p w14:paraId="6D1E9DAD">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2、因履行本合同引起的或与本合同有关的争议，甲、乙双方应首先通过友好协商解决，如果协商不能解决争议，</w:t>
      </w:r>
      <w:r>
        <w:rPr>
          <w:rFonts w:hint="default" w:ascii="Times New Roman" w:hAnsi="Times New Roman" w:cs="Times New Roman"/>
          <w:bCs/>
          <w:sz w:val="24"/>
          <w:lang w:val="en-US" w:eastAsia="zh-CN"/>
        </w:rPr>
        <w:t>双方均有权</w:t>
      </w:r>
      <w:r>
        <w:rPr>
          <w:rFonts w:hint="default" w:ascii="Times New Roman" w:hAnsi="Times New Roman" w:cs="Times New Roman"/>
          <w:bCs/>
          <w:sz w:val="24"/>
        </w:rPr>
        <w:t>向</w:t>
      </w:r>
      <w:r>
        <w:rPr>
          <w:rFonts w:hint="default" w:ascii="Times New Roman" w:hAnsi="Times New Roman" w:cs="Times New Roman"/>
          <w:bCs/>
          <w:sz w:val="24"/>
          <w:lang w:val="en-US" w:eastAsia="zh-CN"/>
        </w:rPr>
        <w:t>南京市江宁区</w:t>
      </w:r>
      <w:r>
        <w:rPr>
          <w:rFonts w:hint="default" w:ascii="Times New Roman" w:hAnsi="Times New Roman" w:cs="Times New Roman"/>
          <w:bCs/>
          <w:sz w:val="24"/>
        </w:rPr>
        <w:t>人民法院提起诉讼。</w:t>
      </w:r>
    </w:p>
    <w:p w14:paraId="41DBBA12">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第十七条 合同生效及其他</w:t>
      </w:r>
    </w:p>
    <w:p w14:paraId="6334C93A">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w:t>
      </w:r>
      <w:r>
        <w:rPr>
          <w:rFonts w:hint="default" w:ascii="Times New Roman" w:hAnsi="Times New Roman" w:cs="Times New Roman"/>
          <w:bCs/>
          <w:sz w:val="24"/>
        </w:rPr>
        <w:t>本合同自甲乙双方签字盖章（公章或合同专用章）后生效。</w:t>
      </w:r>
    </w:p>
    <w:p w14:paraId="0F9DD296">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2、本合同一式六份，具有同等法律效力，甲、乙双方各执三份。</w:t>
      </w:r>
    </w:p>
    <w:p w14:paraId="42C0876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3、江苏省体育装备中心为甲方的采购代理机构，根据甲方的授权依法确定乙方为中标</w:t>
      </w:r>
      <w:r>
        <w:rPr>
          <w:rFonts w:hint="default" w:ascii="Times New Roman" w:hAnsi="Times New Roman" w:cs="Times New Roman"/>
          <w:bCs/>
          <w:sz w:val="24"/>
        </w:rPr>
        <w:t>供应商</w:t>
      </w:r>
      <w:r>
        <w:rPr>
          <w:rFonts w:hint="default" w:ascii="Times New Roman" w:hAnsi="Times New Roman" w:cs="Times New Roman"/>
          <w:color w:val="000000"/>
          <w:sz w:val="24"/>
        </w:rPr>
        <w:t>，但不承担本合同规定的甲方的权利和义务。</w:t>
      </w:r>
    </w:p>
    <w:p w14:paraId="7AC26D1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65C87827">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5、合同及其附件中所述联系方式如有变更，变更的一方应当在变后以书面方式及时通知另一方。否则一方依据合同及其附件中所述的联系方式发出的通知经过一定期间视为通知已到达。</w:t>
      </w:r>
    </w:p>
    <w:p w14:paraId="2D450DD6">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6、本合同应按照中华人民共和国的现行法律进行解释。</w:t>
      </w:r>
    </w:p>
    <w:p w14:paraId="7AB0C111">
      <w:pPr>
        <w:spacing w:line="500" w:lineRule="exact"/>
        <w:ind w:firstLine="480"/>
        <w:rPr>
          <w:rFonts w:hint="default" w:ascii="Times New Roman" w:hAnsi="Times New Roman" w:cs="Times New Roman"/>
          <w:color w:val="000000"/>
          <w:sz w:val="24"/>
        </w:rPr>
      </w:pPr>
    </w:p>
    <w:p w14:paraId="7C14383E">
      <w:pPr>
        <w:spacing w:line="500" w:lineRule="exact"/>
        <w:ind w:firstLine="480"/>
        <w:rPr>
          <w:rFonts w:hint="default" w:ascii="Times New Roman" w:hAnsi="Times New Roman" w:cs="Times New Roman"/>
          <w:sz w:val="24"/>
        </w:rPr>
      </w:pPr>
      <w:r>
        <w:rPr>
          <w:rFonts w:hint="default" w:ascii="Times New Roman" w:hAnsi="Times New Roman" w:cs="Times New Roman"/>
          <w:sz w:val="24"/>
        </w:rPr>
        <w:t>甲方（单位盖章）：                乙方（单位盖章）：</w:t>
      </w:r>
    </w:p>
    <w:p w14:paraId="59313FFF">
      <w:pPr>
        <w:spacing w:line="500" w:lineRule="exact"/>
        <w:ind w:firstLine="480"/>
        <w:rPr>
          <w:rFonts w:hint="default" w:ascii="Times New Roman" w:hAnsi="Times New Roman" w:cs="Times New Roman"/>
          <w:sz w:val="24"/>
        </w:rPr>
      </w:pPr>
      <w:r>
        <w:rPr>
          <w:rFonts w:hint="default" w:ascii="Times New Roman" w:hAnsi="Times New Roman" w:cs="Times New Roman"/>
          <w:sz w:val="24"/>
        </w:rPr>
        <w:t>地址：</w:t>
      </w:r>
      <w:r>
        <w:rPr>
          <w:rFonts w:hint="default" w:ascii="Times New Roman" w:hAnsi="Times New Roman" w:cs="Times New Roman"/>
          <w:sz w:val="24"/>
        </w:rPr>
        <w:tab/>
      </w:r>
      <w:r>
        <w:rPr>
          <w:rFonts w:hint="default" w:ascii="Times New Roman" w:hAnsi="Times New Roman" w:cs="Times New Roman"/>
          <w:sz w:val="24"/>
        </w:rPr>
        <w:tab/>
      </w:r>
      <w:r>
        <w:rPr>
          <w:rFonts w:hint="default" w:ascii="Times New Roman" w:hAnsi="Times New Roman" w:cs="Times New Roman"/>
          <w:sz w:val="24"/>
        </w:rPr>
        <w:t xml:space="preserve">                       地址：</w:t>
      </w:r>
    </w:p>
    <w:p w14:paraId="1FB1701A">
      <w:pPr>
        <w:spacing w:line="500" w:lineRule="exact"/>
        <w:ind w:firstLine="480"/>
        <w:rPr>
          <w:rFonts w:hint="default" w:ascii="Times New Roman" w:hAnsi="Times New Roman" w:cs="Times New Roman"/>
          <w:sz w:val="24"/>
        </w:rPr>
      </w:pPr>
      <w:r>
        <w:rPr>
          <w:rFonts w:hint="default" w:ascii="Times New Roman" w:hAnsi="Times New Roman" w:cs="Times New Roman"/>
          <w:sz w:val="24"/>
        </w:rPr>
        <w:t>法定代表人或授权代表签字：       法定代表人或授权代表签字：</w:t>
      </w:r>
    </w:p>
    <w:p w14:paraId="4141F384">
      <w:pPr>
        <w:spacing w:line="500" w:lineRule="exact"/>
        <w:ind w:firstLine="480"/>
        <w:rPr>
          <w:rFonts w:hint="default" w:ascii="Times New Roman" w:hAnsi="Times New Roman" w:cs="Times New Roman"/>
          <w:sz w:val="24"/>
        </w:rPr>
      </w:pPr>
      <w:r>
        <w:rPr>
          <w:rFonts w:hint="default" w:ascii="Times New Roman" w:hAnsi="Times New Roman" w:cs="Times New Roman"/>
          <w:sz w:val="24"/>
        </w:rPr>
        <w:t>联系方式：                       联系方式：</w:t>
      </w:r>
    </w:p>
    <w:p w14:paraId="5F6838DB">
      <w:pPr>
        <w:spacing w:line="500" w:lineRule="exact"/>
        <w:ind w:firstLine="1200"/>
        <w:jc w:val="left"/>
        <w:rPr>
          <w:rFonts w:hint="default" w:ascii="Times New Roman" w:hAnsi="Times New Roman" w:cs="Times New Roman"/>
          <w:sz w:val="24"/>
        </w:rPr>
      </w:pPr>
      <w:r>
        <w:rPr>
          <w:rFonts w:hint="default" w:ascii="Times New Roman" w:hAnsi="Times New Roman" w:cs="Times New Roman"/>
          <w:sz w:val="24"/>
        </w:rPr>
        <w:t>日期：   年   月   日                 日期：   年   月   日</w:t>
      </w:r>
    </w:p>
    <w:p w14:paraId="1D4DB4C3">
      <w:pPr>
        <w:spacing w:line="520" w:lineRule="exact"/>
        <w:ind w:firstLine="480"/>
        <w:jc w:val="right"/>
        <w:rPr>
          <w:rFonts w:hint="default" w:ascii="Times New Roman" w:hAnsi="Times New Roman" w:cs="Times New Roman"/>
          <w:sz w:val="24"/>
        </w:rPr>
      </w:pPr>
    </w:p>
    <w:p w14:paraId="40496E27">
      <w:pPr>
        <w:pStyle w:val="187"/>
        <w:numPr>
          <w:ilvl w:val="0"/>
          <w:numId w:val="4"/>
        </w:numPr>
        <w:rPr>
          <w:rFonts w:hint="default" w:ascii="Times New Roman" w:hAnsi="Times New Roman" w:eastAsia="黑体" w:cs="Times New Roman"/>
          <w:bCs/>
          <w:sz w:val="44"/>
        </w:rPr>
      </w:pPr>
      <w:r>
        <w:rPr>
          <w:rFonts w:hint="default" w:ascii="Times New Roman" w:hAnsi="Times New Roman" w:cs="Times New Roman"/>
          <w:color w:val="000000"/>
          <w:sz w:val="24"/>
        </w:rPr>
        <w:br w:type="page" w:clear="all"/>
      </w:r>
      <w:bookmarkEnd w:id="170"/>
      <w:bookmarkEnd w:id="171"/>
      <w:bookmarkEnd w:id="172"/>
      <w:bookmarkStart w:id="173" w:name="_Toc121905578"/>
      <w:bookmarkStart w:id="174" w:name="_Toc475009299"/>
      <w:bookmarkStart w:id="175" w:name="_Toc511899515"/>
      <w:bookmarkStart w:id="176" w:name="_Toc481072015"/>
      <w:bookmarkStart w:id="177" w:name="_Toc481071969"/>
      <w:bookmarkStart w:id="178" w:name="_Toc479757211"/>
      <w:bookmarkStart w:id="179" w:name="_Toc462564139"/>
      <w:r>
        <w:rPr>
          <w:rFonts w:hint="default" w:ascii="Times New Roman" w:hAnsi="Times New Roman" w:eastAsia="黑体" w:cs="Times New Roman"/>
          <w:bCs/>
          <w:sz w:val="44"/>
        </w:rPr>
        <w:t>项目需求</w:t>
      </w:r>
      <w:bookmarkEnd w:id="173"/>
      <w:bookmarkEnd w:id="174"/>
      <w:bookmarkEnd w:id="175"/>
      <w:bookmarkEnd w:id="176"/>
      <w:bookmarkEnd w:id="177"/>
    </w:p>
    <w:p w14:paraId="58431513">
      <w:pPr>
        <w:numPr>
          <w:ilvl w:val="0"/>
          <w:numId w:val="5"/>
        </w:numPr>
        <w:spacing w:line="520" w:lineRule="exact"/>
        <w:ind w:left="987" w:hanging="505"/>
        <w:rPr>
          <w:rFonts w:hint="default" w:ascii="Times New Roman" w:hAnsi="Times New Roman" w:cs="Times New Roman"/>
          <w:b/>
          <w:bCs/>
          <w:color w:val="000000"/>
          <w:sz w:val="24"/>
        </w:rPr>
      </w:pPr>
      <w:bookmarkStart w:id="180" w:name="_Toc49090575"/>
      <w:bookmarkStart w:id="181" w:name="_Toc26554093"/>
      <w:bookmarkStart w:id="182" w:name="_Toc120614281"/>
      <w:r>
        <w:rPr>
          <w:rFonts w:hint="default" w:ascii="Times New Roman" w:hAnsi="Times New Roman" w:cs="Times New Roman"/>
          <w:b/>
          <w:bCs/>
          <w:color w:val="000000"/>
          <w:sz w:val="24"/>
        </w:rPr>
        <w:t xml:space="preserve">项目概况 </w:t>
      </w:r>
    </w:p>
    <w:p w14:paraId="032953FF">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本次采购的进口</w:t>
      </w:r>
      <w:r>
        <w:rPr>
          <w:rFonts w:hint="default" w:ascii="Times New Roman" w:hAnsi="Times New Roman" w:cs="Times New Roman"/>
          <w:color w:val="000000"/>
          <w:sz w:val="24"/>
          <w:lang w:val="en-US" w:eastAsia="zh-CN"/>
        </w:rPr>
        <w:t>复合弓</w:t>
      </w:r>
      <w:r>
        <w:rPr>
          <w:rFonts w:hint="default" w:ascii="Times New Roman" w:hAnsi="Times New Roman" w:cs="Times New Roman"/>
          <w:color w:val="000000"/>
          <w:sz w:val="24"/>
        </w:rPr>
        <w:t>射箭装备为专业运动队使用，需符合国际射联比赛规则要求，供应商所提供的货物必须是通过合法渠道获得的全新原装设备，质量要求应达到国家和行业相关标准，技术参数应符合或优于招标文件要求。</w:t>
      </w:r>
    </w:p>
    <w:p w14:paraId="3B336710">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供应商应负责所供设备的供货、安装及调试等全部内容。</w:t>
      </w:r>
    </w:p>
    <w:p w14:paraId="5B9D6A2B">
      <w:pPr>
        <w:numPr>
          <w:ilvl w:val="0"/>
          <w:numId w:val="5"/>
        </w:numPr>
        <w:spacing w:line="520" w:lineRule="exact"/>
        <w:ind w:left="987" w:hanging="505"/>
        <w:rPr>
          <w:rFonts w:hint="default" w:ascii="Times New Roman" w:hAnsi="Times New Roman" w:cs="Times New Roman"/>
        </w:rPr>
      </w:pPr>
      <w:r>
        <w:rPr>
          <w:rFonts w:hint="default" w:ascii="Times New Roman" w:hAnsi="Times New Roman" w:cs="Times New Roman"/>
          <w:b/>
          <w:bCs/>
          <w:color w:val="000000"/>
          <w:sz w:val="24"/>
        </w:rPr>
        <w:t>采购清单及技术要求</w:t>
      </w:r>
    </w:p>
    <w:tbl>
      <w:tblPr>
        <w:tblStyle w:val="31"/>
        <w:tblW w:w="8977"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Layout w:type="fixed"/>
        <w:tblCellMar>
          <w:top w:w="0" w:type="dxa"/>
          <w:left w:w="0" w:type="dxa"/>
          <w:bottom w:w="0" w:type="dxa"/>
          <w:right w:w="0" w:type="dxa"/>
        </w:tblCellMar>
      </w:tblPr>
      <w:tblGrid>
        <w:gridCol w:w="470"/>
        <w:gridCol w:w="1130"/>
        <w:gridCol w:w="5541"/>
        <w:gridCol w:w="576"/>
        <w:gridCol w:w="630"/>
        <w:gridCol w:w="630"/>
      </w:tblGrid>
      <w:tr w14:paraId="74434E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905" w:hRule="atLeast"/>
        </w:trPr>
        <w:tc>
          <w:tcPr>
            <w:tcW w:w="470" w:type="dxa"/>
            <w:tcBorders>
              <w:tl2br w:val="nil"/>
              <w:tr2bl w:val="nil"/>
            </w:tcBorders>
            <w:shd w:val="clear" w:color="auto" w:fill="auto"/>
            <w:noWrap/>
            <w:tcMar>
              <w:top w:w="15" w:type="dxa"/>
              <w:left w:w="15" w:type="dxa"/>
              <w:right w:w="15" w:type="dxa"/>
            </w:tcMar>
            <w:vAlign w:val="center"/>
          </w:tcPr>
          <w:p w14:paraId="697202B5">
            <w:pPr>
              <w:keepNext w:val="0"/>
              <w:keepLines w:val="0"/>
              <w:widowControl/>
              <w:suppressLineNumbers w:val="0"/>
              <w:jc w:val="center"/>
              <w:textAlignment w:val="center"/>
              <w:rPr>
                <w:rFonts w:hint="default" w:ascii="Times New Roman" w:hAnsi="Times New Roman" w:eastAsia="等线" w:cs="Times New Roman"/>
                <w:b/>
                <w:i/>
                <w:iCs/>
                <w:color w:val="000000"/>
                <w:sz w:val="22"/>
                <w:szCs w:val="22"/>
                <w:u w:val="single"/>
              </w:rPr>
            </w:pPr>
            <w:r>
              <w:rPr>
                <w:rFonts w:hint="default" w:ascii="Times New Roman" w:hAnsi="Times New Roman" w:eastAsia="等线" w:cs="Times New Roman"/>
                <w:b/>
                <w:i/>
                <w:iCs/>
                <w:color w:val="000000"/>
                <w:kern w:val="0"/>
                <w:sz w:val="22"/>
                <w:szCs w:val="22"/>
                <w:u w:val="single"/>
                <w:lang w:val="en-US" w:eastAsia="zh-CN" w:bidi="ar"/>
              </w:rPr>
              <w:t>序号</w:t>
            </w:r>
          </w:p>
        </w:tc>
        <w:tc>
          <w:tcPr>
            <w:tcW w:w="1130" w:type="dxa"/>
            <w:tcBorders>
              <w:tl2br w:val="nil"/>
              <w:tr2bl w:val="nil"/>
            </w:tcBorders>
            <w:shd w:val="clear" w:color="auto" w:fill="auto"/>
            <w:noWrap/>
            <w:tcMar>
              <w:top w:w="15" w:type="dxa"/>
              <w:left w:w="15" w:type="dxa"/>
              <w:right w:w="15" w:type="dxa"/>
            </w:tcMar>
            <w:vAlign w:val="center"/>
          </w:tcPr>
          <w:p w14:paraId="4E4B7D84">
            <w:pPr>
              <w:keepNext w:val="0"/>
              <w:keepLines w:val="0"/>
              <w:widowControl/>
              <w:suppressLineNumbers w:val="0"/>
              <w:jc w:val="center"/>
              <w:textAlignment w:val="center"/>
              <w:rPr>
                <w:rFonts w:hint="default" w:ascii="Times New Roman" w:hAnsi="Times New Roman" w:eastAsia="等线" w:cs="Times New Roman"/>
                <w:b/>
                <w:i/>
                <w:iCs/>
                <w:color w:val="000000"/>
                <w:kern w:val="0"/>
                <w:sz w:val="22"/>
                <w:szCs w:val="22"/>
                <w:u w:val="single"/>
                <w:lang w:val="en-US" w:eastAsia="zh-CN" w:bidi="ar"/>
              </w:rPr>
            </w:pPr>
            <w:r>
              <w:rPr>
                <w:rFonts w:hint="default" w:ascii="Times New Roman" w:hAnsi="Times New Roman" w:eastAsia="等线" w:cs="Times New Roman"/>
                <w:b/>
                <w:i/>
                <w:iCs/>
                <w:color w:val="000000"/>
                <w:kern w:val="0"/>
                <w:sz w:val="22"/>
                <w:szCs w:val="22"/>
                <w:u w:val="single"/>
                <w:lang w:val="en-US" w:eastAsia="zh-CN" w:bidi="ar"/>
              </w:rPr>
              <w:t>标的</w:t>
            </w:r>
          </w:p>
          <w:p w14:paraId="5FE70200">
            <w:pPr>
              <w:keepNext w:val="0"/>
              <w:keepLines w:val="0"/>
              <w:widowControl/>
              <w:suppressLineNumbers w:val="0"/>
              <w:jc w:val="center"/>
              <w:textAlignment w:val="center"/>
              <w:rPr>
                <w:rFonts w:hint="default" w:ascii="Times New Roman" w:hAnsi="Times New Roman" w:eastAsia="等线" w:cs="Times New Roman"/>
                <w:b/>
                <w:i/>
                <w:iCs/>
                <w:color w:val="000000"/>
                <w:sz w:val="22"/>
                <w:szCs w:val="22"/>
                <w:u w:val="single"/>
              </w:rPr>
            </w:pPr>
            <w:r>
              <w:rPr>
                <w:rFonts w:hint="default" w:ascii="Times New Roman" w:hAnsi="Times New Roman" w:eastAsia="等线" w:cs="Times New Roman"/>
                <w:b/>
                <w:i/>
                <w:iCs/>
                <w:color w:val="000000"/>
                <w:kern w:val="0"/>
                <w:sz w:val="22"/>
                <w:szCs w:val="22"/>
                <w:u w:val="single"/>
                <w:lang w:val="en-US" w:eastAsia="zh-CN" w:bidi="ar"/>
              </w:rPr>
              <w:t>名称</w:t>
            </w:r>
          </w:p>
        </w:tc>
        <w:tc>
          <w:tcPr>
            <w:tcW w:w="5541" w:type="dxa"/>
            <w:tcBorders>
              <w:tl2br w:val="nil"/>
              <w:tr2bl w:val="nil"/>
            </w:tcBorders>
            <w:shd w:val="clear" w:color="auto" w:fill="auto"/>
            <w:tcMar>
              <w:top w:w="15" w:type="dxa"/>
              <w:left w:w="15" w:type="dxa"/>
              <w:right w:w="15" w:type="dxa"/>
            </w:tcMar>
            <w:vAlign w:val="center"/>
          </w:tcPr>
          <w:p w14:paraId="5C24CEB1">
            <w:pPr>
              <w:keepNext w:val="0"/>
              <w:keepLines w:val="0"/>
              <w:widowControl/>
              <w:suppressLineNumbers w:val="0"/>
              <w:jc w:val="center"/>
              <w:textAlignment w:val="center"/>
              <w:rPr>
                <w:rFonts w:hint="default" w:ascii="Times New Roman" w:hAnsi="Times New Roman" w:eastAsia="等线" w:cs="Times New Roman"/>
                <w:b/>
                <w:i/>
                <w:iCs/>
                <w:color w:val="000000"/>
                <w:sz w:val="22"/>
                <w:szCs w:val="22"/>
                <w:u w:val="single"/>
              </w:rPr>
            </w:pPr>
            <w:r>
              <w:rPr>
                <w:rFonts w:hint="default" w:ascii="Times New Roman" w:hAnsi="Times New Roman" w:eastAsia="等线" w:cs="Times New Roman"/>
                <w:b/>
                <w:i/>
                <w:iCs/>
                <w:color w:val="000000"/>
                <w:kern w:val="0"/>
                <w:sz w:val="22"/>
                <w:szCs w:val="22"/>
                <w:u w:val="single"/>
                <w:lang w:val="en-US" w:eastAsia="zh-CN" w:bidi="ar"/>
              </w:rPr>
              <w:t>技术参数</w:t>
            </w:r>
          </w:p>
        </w:tc>
        <w:tc>
          <w:tcPr>
            <w:tcW w:w="576" w:type="dxa"/>
            <w:tcBorders>
              <w:tl2br w:val="nil"/>
              <w:tr2bl w:val="nil"/>
            </w:tcBorders>
            <w:shd w:val="clear" w:color="auto" w:fill="auto"/>
            <w:noWrap/>
            <w:tcMar>
              <w:top w:w="15" w:type="dxa"/>
              <w:left w:w="15" w:type="dxa"/>
              <w:right w:w="15" w:type="dxa"/>
            </w:tcMar>
            <w:vAlign w:val="center"/>
          </w:tcPr>
          <w:p w14:paraId="7521EB07">
            <w:pPr>
              <w:keepNext w:val="0"/>
              <w:keepLines w:val="0"/>
              <w:widowControl/>
              <w:suppressLineNumbers w:val="0"/>
              <w:jc w:val="center"/>
              <w:textAlignment w:val="center"/>
              <w:rPr>
                <w:rFonts w:hint="default" w:ascii="Times New Roman" w:hAnsi="Times New Roman" w:eastAsia="等线" w:cs="Times New Roman"/>
                <w:b/>
                <w:i/>
                <w:iCs/>
                <w:color w:val="000000"/>
                <w:sz w:val="22"/>
                <w:szCs w:val="22"/>
                <w:u w:val="single"/>
              </w:rPr>
            </w:pPr>
            <w:r>
              <w:rPr>
                <w:rFonts w:hint="default" w:ascii="Times New Roman" w:hAnsi="Times New Roman" w:eastAsia="等线" w:cs="Times New Roman"/>
                <w:b/>
                <w:i/>
                <w:iCs/>
                <w:color w:val="000000"/>
                <w:kern w:val="0"/>
                <w:sz w:val="22"/>
                <w:szCs w:val="22"/>
                <w:u w:val="single"/>
                <w:lang w:val="en-US" w:eastAsia="zh-CN" w:bidi="ar"/>
              </w:rPr>
              <w:t>数量</w:t>
            </w:r>
          </w:p>
        </w:tc>
        <w:tc>
          <w:tcPr>
            <w:tcW w:w="630" w:type="dxa"/>
            <w:tcBorders>
              <w:tl2br w:val="nil"/>
              <w:tr2bl w:val="nil"/>
            </w:tcBorders>
            <w:shd w:val="clear" w:color="auto" w:fill="auto"/>
            <w:tcMar>
              <w:top w:w="15" w:type="dxa"/>
              <w:left w:w="15" w:type="dxa"/>
              <w:right w:w="15" w:type="dxa"/>
            </w:tcMar>
            <w:vAlign w:val="center"/>
          </w:tcPr>
          <w:p w14:paraId="0547D15C">
            <w:pPr>
              <w:keepNext w:val="0"/>
              <w:keepLines w:val="0"/>
              <w:widowControl/>
              <w:suppressLineNumbers w:val="0"/>
              <w:jc w:val="center"/>
              <w:textAlignment w:val="center"/>
              <w:rPr>
                <w:rFonts w:hint="default" w:ascii="Times New Roman" w:hAnsi="Times New Roman" w:eastAsia="等线" w:cs="Times New Roman"/>
                <w:b/>
                <w:i/>
                <w:iCs/>
                <w:color w:val="000000"/>
                <w:kern w:val="0"/>
                <w:sz w:val="22"/>
                <w:szCs w:val="22"/>
                <w:u w:val="single"/>
                <w:lang w:val="en-US" w:eastAsia="zh-CN" w:bidi="ar"/>
              </w:rPr>
            </w:pPr>
            <w:r>
              <w:rPr>
                <w:rFonts w:hint="default" w:ascii="Times New Roman" w:hAnsi="Times New Roman" w:eastAsia="等线" w:cs="Times New Roman"/>
                <w:b/>
                <w:i/>
                <w:iCs/>
                <w:color w:val="000000"/>
                <w:kern w:val="0"/>
                <w:sz w:val="22"/>
                <w:szCs w:val="22"/>
                <w:u w:val="single"/>
                <w:lang w:val="en-US" w:eastAsia="zh-CN" w:bidi="ar"/>
              </w:rPr>
              <w:t>计量</w:t>
            </w:r>
          </w:p>
          <w:p w14:paraId="55C0485E">
            <w:pPr>
              <w:keepNext w:val="0"/>
              <w:keepLines w:val="0"/>
              <w:widowControl/>
              <w:suppressLineNumbers w:val="0"/>
              <w:jc w:val="center"/>
              <w:textAlignment w:val="center"/>
              <w:rPr>
                <w:rFonts w:hint="default" w:ascii="Times New Roman" w:hAnsi="Times New Roman" w:eastAsia="等线" w:cs="Times New Roman"/>
                <w:b/>
                <w:i/>
                <w:iCs/>
                <w:color w:val="000000"/>
                <w:sz w:val="22"/>
                <w:szCs w:val="22"/>
                <w:u w:val="single"/>
              </w:rPr>
            </w:pPr>
            <w:r>
              <w:rPr>
                <w:rFonts w:hint="default" w:ascii="Times New Roman" w:hAnsi="Times New Roman" w:eastAsia="等线" w:cs="Times New Roman"/>
                <w:b/>
                <w:i/>
                <w:iCs/>
                <w:color w:val="000000"/>
                <w:kern w:val="0"/>
                <w:sz w:val="22"/>
                <w:szCs w:val="22"/>
                <w:u w:val="single"/>
                <w:lang w:val="en-US" w:eastAsia="zh-CN" w:bidi="ar"/>
              </w:rPr>
              <w:t>单位</w:t>
            </w:r>
          </w:p>
        </w:tc>
        <w:tc>
          <w:tcPr>
            <w:tcW w:w="630" w:type="dxa"/>
            <w:tcBorders>
              <w:tl2br w:val="nil"/>
              <w:tr2bl w:val="nil"/>
            </w:tcBorders>
            <w:shd w:val="clear" w:color="auto" w:fill="auto"/>
            <w:noWrap/>
            <w:tcMar>
              <w:top w:w="15" w:type="dxa"/>
              <w:left w:w="15" w:type="dxa"/>
              <w:right w:w="15" w:type="dxa"/>
            </w:tcMar>
            <w:vAlign w:val="center"/>
          </w:tcPr>
          <w:p w14:paraId="48FE1364">
            <w:pPr>
              <w:keepNext w:val="0"/>
              <w:keepLines w:val="0"/>
              <w:widowControl/>
              <w:suppressLineNumbers w:val="0"/>
              <w:jc w:val="center"/>
              <w:textAlignment w:val="center"/>
              <w:rPr>
                <w:rFonts w:hint="default" w:ascii="Times New Roman" w:hAnsi="Times New Roman" w:eastAsia="等线" w:cs="Times New Roman"/>
                <w:b/>
                <w:i/>
                <w:iCs/>
                <w:color w:val="000000"/>
                <w:kern w:val="0"/>
                <w:sz w:val="22"/>
                <w:szCs w:val="22"/>
                <w:u w:val="single"/>
                <w:lang w:val="en-US" w:eastAsia="zh-CN" w:bidi="ar"/>
              </w:rPr>
            </w:pPr>
            <w:r>
              <w:rPr>
                <w:rFonts w:hint="default" w:ascii="Times New Roman" w:hAnsi="Times New Roman" w:eastAsia="等线" w:cs="Times New Roman"/>
                <w:b/>
                <w:i/>
                <w:iCs/>
                <w:color w:val="000000"/>
                <w:kern w:val="0"/>
                <w:sz w:val="22"/>
                <w:szCs w:val="22"/>
                <w:u w:val="single"/>
                <w:lang w:val="en-US" w:eastAsia="zh-CN" w:bidi="ar"/>
              </w:rPr>
              <w:t>是否</w:t>
            </w:r>
          </w:p>
          <w:p w14:paraId="7BA76351">
            <w:pPr>
              <w:keepNext w:val="0"/>
              <w:keepLines w:val="0"/>
              <w:widowControl/>
              <w:suppressLineNumbers w:val="0"/>
              <w:jc w:val="center"/>
              <w:textAlignment w:val="center"/>
              <w:rPr>
                <w:rFonts w:hint="default" w:ascii="Times New Roman" w:hAnsi="Times New Roman" w:eastAsia="等线" w:cs="Times New Roman"/>
                <w:b/>
                <w:i/>
                <w:iCs/>
                <w:color w:val="000000"/>
                <w:sz w:val="22"/>
                <w:szCs w:val="22"/>
                <w:u w:val="single"/>
              </w:rPr>
            </w:pPr>
            <w:r>
              <w:rPr>
                <w:rFonts w:hint="default" w:ascii="Times New Roman" w:hAnsi="Times New Roman" w:eastAsia="等线" w:cs="Times New Roman"/>
                <w:b/>
                <w:i/>
                <w:iCs/>
                <w:color w:val="000000"/>
                <w:kern w:val="0"/>
                <w:sz w:val="22"/>
                <w:szCs w:val="22"/>
                <w:u w:val="single"/>
                <w:lang w:val="en-US" w:eastAsia="zh-CN" w:bidi="ar"/>
              </w:rPr>
              <w:t>进口</w:t>
            </w:r>
          </w:p>
        </w:tc>
      </w:tr>
      <w:tr w14:paraId="378BC8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470" w:type="dxa"/>
            <w:tcBorders>
              <w:tl2br w:val="nil"/>
              <w:tr2bl w:val="nil"/>
            </w:tcBorders>
            <w:shd w:val="clear" w:color="auto" w:fill="auto"/>
            <w:noWrap/>
            <w:tcMar>
              <w:top w:w="15" w:type="dxa"/>
              <w:left w:w="15" w:type="dxa"/>
              <w:right w:w="15" w:type="dxa"/>
            </w:tcMar>
            <w:vAlign w:val="center"/>
          </w:tcPr>
          <w:p w14:paraId="747EB363">
            <w:pPr>
              <w:keepNext w:val="0"/>
              <w:keepLines w:val="0"/>
              <w:widowControl/>
              <w:suppressLineNumbers w:val="0"/>
              <w:jc w:val="center"/>
              <w:textAlignment w:val="center"/>
              <w:rPr>
                <w:rFonts w:hint="default" w:ascii="Times New Roman" w:hAnsi="Times New Roman" w:eastAsia="宋体" w:cs="Times New Roman"/>
                <w:i/>
                <w:iCs/>
                <w:color w:val="000000"/>
                <w:sz w:val="22"/>
                <w:szCs w:val="22"/>
                <w:u w:val="single"/>
              </w:rPr>
            </w:pPr>
            <w:r>
              <w:rPr>
                <w:rFonts w:hint="default" w:ascii="Times New Roman" w:hAnsi="Times New Roman" w:eastAsia="宋体" w:cs="Times New Roman"/>
                <w:i/>
                <w:iCs/>
                <w:color w:val="000000"/>
                <w:kern w:val="0"/>
                <w:sz w:val="22"/>
                <w:szCs w:val="22"/>
                <w:u w:val="single"/>
                <w:lang w:val="en-US" w:eastAsia="zh-CN" w:bidi="ar"/>
              </w:rPr>
              <w:t>1</w:t>
            </w:r>
          </w:p>
        </w:tc>
        <w:tc>
          <w:tcPr>
            <w:tcW w:w="1130" w:type="dxa"/>
            <w:tcBorders>
              <w:tl2br w:val="nil"/>
              <w:tr2bl w:val="nil"/>
            </w:tcBorders>
            <w:shd w:val="clear" w:color="auto" w:fill="auto"/>
            <w:noWrap/>
            <w:tcMar>
              <w:top w:w="15" w:type="dxa"/>
              <w:left w:w="15" w:type="dxa"/>
              <w:right w:w="15" w:type="dxa"/>
            </w:tcMar>
            <w:vAlign w:val="center"/>
          </w:tcPr>
          <w:p w14:paraId="351459A8">
            <w:pPr>
              <w:keepNext w:val="0"/>
              <w:keepLines w:val="0"/>
              <w:widowControl/>
              <w:suppressLineNumbers w:val="0"/>
              <w:jc w:val="center"/>
              <w:textAlignment w:val="center"/>
              <w:rPr>
                <w:rFonts w:hint="default" w:ascii="Times New Roman" w:hAnsi="Times New Roman" w:eastAsia="等线" w:cs="Times New Roman"/>
                <w:i/>
                <w:iCs/>
                <w:color w:val="000000"/>
                <w:sz w:val="22"/>
                <w:szCs w:val="22"/>
                <w:u w:val="single"/>
              </w:rPr>
            </w:pPr>
            <w:r>
              <w:rPr>
                <w:rFonts w:hint="default" w:ascii="Times New Roman" w:hAnsi="Times New Roman" w:eastAsia="等线" w:cs="Times New Roman"/>
                <w:i/>
                <w:iCs/>
                <w:color w:val="000000"/>
                <w:kern w:val="0"/>
                <w:sz w:val="22"/>
                <w:szCs w:val="22"/>
                <w:u w:val="single"/>
                <w:lang w:val="en-US" w:eastAsia="zh-CN" w:bidi="ar"/>
              </w:rPr>
              <w:t>弓1</w:t>
            </w:r>
          </w:p>
        </w:tc>
        <w:tc>
          <w:tcPr>
            <w:tcW w:w="5541" w:type="dxa"/>
            <w:tcBorders>
              <w:tl2br w:val="nil"/>
              <w:tr2bl w:val="nil"/>
            </w:tcBorders>
            <w:shd w:val="clear" w:color="auto" w:fill="auto"/>
            <w:tcMar>
              <w:top w:w="15" w:type="dxa"/>
              <w:left w:w="15" w:type="dxa"/>
              <w:right w:w="15" w:type="dxa"/>
            </w:tcMar>
            <w:vAlign w:val="center"/>
          </w:tcPr>
          <w:p w14:paraId="3FBB89C7">
            <w:pPr>
              <w:keepNext w:val="0"/>
              <w:keepLines w:val="0"/>
              <w:widowControl/>
              <w:suppressLineNumbers w:val="0"/>
              <w:jc w:val="left"/>
              <w:textAlignment w:val="center"/>
              <w:rPr>
                <w:rFonts w:hint="default" w:ascii="Times New Roman" w:hAnsi="Times New Roman" w:eastAsia="等线" w:cs="Times New Roman"/>
                <w:i/>
                <w:iCs/>
                <w:color w:val="000000"/>
                <w:sz w:val="22"/>
                <w:szCs w:val="22"/>
                <w:u w:val="single"/>
                <w:lang w:val="en-US" w:eastAsia="zh-CN"/>
              </w:rPr>
            </w:pPr>
            <w:r>
              <w:rPr>
                <w:rFonts w:hint="default" w:ascii="Times New Roman" w:hAnsi="Times New Roman" w:eastAsia="等线" w:cs="Times New Roman"/>
                <w:i/>
                <w:iCs/>
                <w:color w:val="000000"/>
                <w:sz w:val="22"/>
                <w:szCs w:val="22"/>
                <w:u w:val="single"/>
                <w:lang w:val="en-US" w:eastAsia="zh-CN"/>
              </w:rPr>
              <w:t xml:space="preserve">材料：弓把煅造铝合金材质；机加工铝。 </w:t>
            </w:r>
          </w:p>
          <w:p w14:paraId="136119C9">
            <w:pPr>
              <w:keepNext w:val="0"/>
              <w:keepLines w:val="0"/>
              <w:widowControl/>
              <w:suppressLineNumbers w:val="0"/>
              <w:jc w:val="left"/>
              <w:textAlignment w:val="center"/>
              <w:rPr>
                <w:rFonts w:hint="default" w:ascii="Times New Roman" w:hAnsi="Times New Roman" w:eastAsia="等线" w:cs="Times New Roman"/>
                <w:i/>
                <w:iCs/>
                <w:color w:val="000000"/>
                <w:sz w:val="22"/>
                <w:szCs w:val="22"/>
                <w:u w:val="single"/>
              </w:rPr>
            </w:pPr>
            <w:r>
              <w:rPr>
                <w:rFonts w:hint="default" w:ascii="Times New Roman" w:hAnsi="Times New Roman" w:eastAsia="等线" w:cs="Times New Roman"/>
                <w:i/>
                <w:iCs/>
                <w:color w:val="000000"/>
                <w:sz w:val="22"/>
                <w:szCs w:val="22"/>
                <w:u w:val="single"/>
                <w:lang w:val="en-US" w:eastAsia="zh-CN"/>
              </w:rPr>
              <w:t>弓片：竹碳泡沫弓，采用高性能碳层设计，要求为上下四块单片七层缠绕型碳纤维材料制作组成.中轴垂直,有较强抗震功能。标配旋转内凸轮模块，可以½“增量轻松调节。两个凸轮优化。</w:t>
            </w:r>
          </w:p>
        </w:tc>
        <w:tc>
          <w:tcPr>
            <w:tcW w:w="576" w:type="dxa"/>
            <w:tcBorders>
              <w:tl2br w:val="nil"/>
              <w:tr2bl w:val="nil"/>
            </w:tcBorders>
            <w:shd w:val="clear" w:color="auto" w:fill="auto"/>
            <w:noWrap/>
            <w:tcMar>
              <w:top w:w="15" w:type="dxa"/>
              <w:left w:w="15" w:type="dxa"/>
              <w:right w:w="15" w:type="dxa"/>
            </w:tcMar>
            <w:vAlign w:val="center"/>
          </w:tcPr>
          <w:p w14:paraId="769CA41D">
            <w:pPr>
              <w:keepNext w:val="0"/>
              <w:keepLines w:val="0"/>
              <w:widowControl/>
              <w:suppressLineNumbers w:val="0"/>
              <w:jc w:val="center"/>
              <w:textAlignment w:val="center"/>
              <w:rPr>
                <w:rFonts w:hint="default" w:ascii="Times New Roman" w:hAnsi="Times New Roman" w:eastAsia="等线" w:cs="Times New Roman"/>
                <w:i/>
                <w:iCs/>
                <w:color w:val="000000"/>
                <w:sz w:val="22"/>
                <w:szCs w:val="22"/>
                <w:u w:val="single"/>
              </w:rPr>
            </w:pPr>
            <w:r>
              <w:rPr>
                <w:rFonts w:hint="eastAsia" w:ascii="Times New Roman" w:hAnsi="Times New Roman" w:eastAsia="等线" w:cs="Times New Roman"/>
                <w:i/>
                <w:iCs/>
                <w:color w:val="000000"/>
                <w:kern w:val="0"/>
                <w:sz w:val="22"/>
                <w:szCs w:val="22"/>
                <w:u w:val="single"/>
                <w:lang w:val="en-US" w:eastAsia="zh-CN" w:bidi="ar"/>
              </w:rPr>
              <w:t>5</w:t>
            </w:r>
          </w:p>
        </w:tc>
        <w:tc>
          <w:tcPr>
            <w:tcW w:w="630" w:type="dxa"/>
            <w:tcBorders>
              <w:tl2br w:val="nil"/>
              <w:tr2bl w:val="nil"/>
            </w:tcBorders>
            <w:shd w:val="clear" w:color="auto" w:fill="auto"/>
            <w:noWrap/>
            <w:tcMar>
              <w:top w:w="15" w:type="dxa"/>
              <w:left w:w="15" w:type="dxa"/>
              <w:right w:w="15" w:type="dxa"/>
            </w:tcMar>
            <w:vAlign w:val="center"/>
          </w:tcPr>
          <w:p w14:paraId="54D9649A">
            <w:pPr>
              <w:keepNext w:val="0"/>
              <w:keepLines w:val="0"/>
              <w:widowControl/>
              <w:suppressLineNumbers w:val="0"/>
              <w:jc w:val="center"/>
              <w:textAlignment w:val="center"/>
              <w:rPr>
                <w:rFonts w:hint="default" w:ascii="Times New Roman" w:hAnsi="Times New Roman" w:eastAsia="等线" w:cs="Times New Roman"/>
                <w:i/>
                <w:iCs/>
                <w:color w:val="000000"/>
                <w:sz w:val="22"/>
                <w:szCs w:val="22"/>
                <w:u w:val="single"/>
              </w:rPr>
            </w:pPr>
            <w:r>
              <w:rPr>
                <w:rFonts w:hint="default" w:ascii="Times New Roman" w:hAnsi="Times New Roman" w:eastAsia="等线" w:cs="Times New Roman"/>
                <w:i/>
                <w:iCs/>
                <w:color w:val="000000"/>
                <w:kern w:val="0"/>
                <w:sz w:val="22"/>
                <w:szCs w:val="22"/>
                <w:u w:val="single"/>
                <w:lang w:val="en-US" w:eastAsia="zh-CN" w:bidi="ar"/>
              </w:rPr>
              <w:t>把</w:t>
            </w:r>
          </w:p>
        </w:tc>
        <w:tc>
          <w:tcPr>
            <w:tcW w:w="630" w:type="dxa"/>
            <w:tcBorders>
              <w:tl2br w:val="nil"/>
              <w:tr2bl w:val="nil"/>
            </w:tcBorders>
            <w:shd w:val="clear" w:color="auto" w:fill="auto"/>
            <w:noWrap/>
            <w:tcMar>
              <w:top w:w="15" w:type="dxa"/>
              <w:left w:w="15" w:type="dxa"/>
              <w:right w:w="15" w:type="dxa"/>
            </w:tcMar>
            <w:vAlign w:val="center"/>
          </w:tcPr>
          <w:p w14:paraId="59E9C5C5">
            <w:pPr>
              <w:keepNext w:val="0"/>
              <w:keepLines w:val="0"/>
              <w:widowControl/>
              <w:suppressLineNumbers w:val="0"/>
              <w:jc w:val="center"/>
              <w:textAlignment w:val="center"/>
              <w:rPr>
                <w:rFonts w:hint="default" w:ascii="Times New Roman" w:hAnsi="Times New Roman" w:eastAsia="宋体" w:cs="Times New Roman"/>
                <w:i/>
                <w:iCs/>
                <w:color w:val="000000"/>
                <w:sz w:val="22"/>
                <w:szCs w:val="22"/>
                <w:u w:val="single"/>
              </w:rPr>
            </w:pPr>
            <w:r>
              <w:rPr>
                <w:rFonts w:hint="default" w:ascii="Times New Roman" w:hAnsi="Times New Roman" w:eastAsia="宋体" w:cs="Times New Roman"/>
                <w:i/>
                <w:iCs/>
                <w:color w:val="000000"/>
                <w:kern w:val="0"/>
                <w:sz w:val="22"/>
                <w:szCs w:val="22"/>
                <w:u w:val="single"/>
                <w:lang w:val="en-US" w:eastAsia="zh-CN" w:bidi="ar"/>
              </w:rPr>
              <w:t>是</w:t>
            </w:r>
          </w:p>
        </w:tc>
      </w:tr>
      <w:tr w14:paraId="241954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0" w:hRule="atLeast"/>
        </w:trPr>
        <w:tc>
          <w:tcPr>
            <w:tcW w:w="470" w:type="dxa"/>
            <w:tcBorders>
              <w:tl2br w:val="nil"/>
              <w:tr2bl w:val="nil"/>
            </w:tcBorders>
            <w:shd w:val="clear" w:color="auto" w:fill="auto"/>
            <w:noWrap/>
            <w:tcMar>
              <w:top w:w="15" w:type="dxa"/>
              <w:left w:w="15" w:type="dxa"/>
              <w:right w:w="15" w:type="dxa"/>
            </w:tcMar>
            <w:vAlign w:val="center"/>
          </w:tcPr>
          <w:p w14:paraId="5B5A8652">
            <w:pPr>
              <w:keepNext w:val="0"/>
              <w:keepLines w:val="0"/>
              <w:widowControl/>
              <w:suppressLineNumbers w:val="0"/>
              <w:jc w:val="center"/>
              <w:textAlignment w:val="center"/>
              <w:rPr>
                <w:rFonts w:hint="default" w:ascii="Times New Roman" w:hAnsi="Times New Roman" w:eastAsia="宋体" w:cs="Times New Roman"/>
                <w:i/>
                <w:iCs/>
                <w:color w:val="000000"/>
                <w:sz w:val="22"/>
                <w:szCs w:val="22"/>
                <w:u w:val="single"/>
              </w:rPr>
            </w:pPr>
            <w:r>
              <w:rPr>
                <w:rFonts w:hint="default" w:ascii="Times New Roman" w:hAnsi="Times New Roman" w:eastAsia="宋体" w:cs="Times New Roman"/>
                <w:i/>
                <w:iCs/>
                <w:color w:val="000000"/>
                <w:kern w:val="0"/>
                <w:sz w:val="22"/>
                <w:szCs w:val="22"/>
                <w:u w:val="single"/>
                <w:lang w:val="en-US" w:eastAsia="zh-CN" w:bidi="ar"/>
              </w:rPr>
              <w:t>2</w:t>
            </w:r>
          </w:p>
        </w:tc>
        <w:tc>
          <w:tcPr>
            <w:tcW w:w="1130" w:type="dxa"/>
            <w:tcBorders>
              <w:tl2br w:val="nil"/>
              <w:tr2bl w:val="nil"/>
            </w:tcBorders>
            <w:shd w:val="clear" w:color="auto" w:fill="auto"/>
            <w:noWrap/>
            <w:tcMar>
              <w:top w:w="15" w:type="dxa"/>
              <w:left w:w="15" w:type="dxa"/>
              <w:right w:w="15" w:type="dxa"/>
            </w:tcMar>
            <w:vAlign w:val="center"/>
          </w:tcPr>
          <w:p w14:paraId="6E1EE7BB">
            <w:pPr>
              <w:keepNext w:val="0"/>
              <w:keepLines w:val="0"/>
              <w:widowControl/>
              <w:suppressLineNumbers w:val="0"/>
              <w:jc w:val="center"/>
              <w:textAlignment w:val="center"/>
              <w:rPr>
                <w:rFonts w:hint="default" w:ascii="Times New Roman" w:hAnsi="Times New Roman" w:eastAsia="等线" w:cs="Times New Roman"/>
                <w:i/>
                <w:iCs/>
                <w:color w:val="000000"/>
                <w:sz w:val="22"/>
                <w:szCs w:val="22"/>
                <w:u w:val="single"/>
              </w:rPr>
            </w:pPr>
            <w:r>
              <w:rPr>
                <w:rFonts w:hint="default" w:ascii="Times New Roman" w:hAnsi="Times New Roman" w:eastAsia="等线" w:cs="Times New Roman"/>
                <w:i/>
                <w:iCs/>
                <w:color w:val="000000"/>
                <w:kern w:val="0"/>
                <w:sz w:val="22"/>
                <w:szCs w:val="22"/>
                <w:u w:val="single"/>
                <w:lang w:val="en-US" w:eastAsia="zh-CN" w:bidi="ar"/>
              </w:rPr>
              <w:t>弓2</w:t>
            </w:r>
          </w:p>
        </w:tc>
        <w:tc>
          <w:tcPr>
            <w:tcW w:w="5541" w:type="dxa"/>
            <w:tcBorders>
              <w:tl2br w:val="nil"/>
              <w:tr2bl w:val="nil"/>
            </w:tcBorders>
            <w:shd w:val="clear" w:color="auto" w:fill="auto"/>
            <w:tcMar>
              <w:top w:w="15" w:type="dxa"/>
              <w:left w:w="15" w:type="dxa"/>
              <w:right w:w="15" w:type="dxa"/>
            </w:tcMar>
            <w:vAlign w:val="center"/>
          </w:tcPr>
          <w:p w14:paraId="68E5D142">
            <w:pPr>
              <w:keepNext w:val="0"/>
              <w:keepLines w:val="0"/>
              <w:widowControl/>
              <w:suppressLineNumbers w:val="0"/>
              <w:jc w:val="left"/>
              <w:textAlignment w:val="center"/>
              <w:rPr>
                <w:rFonts w:hint="default" w:ascii="Times New Roman" w:hAnsi="Times New Roman" w:eastAsia="等线" w:cs="Times New Roman"/>
                <w:i/>
                <w:iCs/>
                <w:color w:val="000000"/>
                <w:sz w:val="22"/>
                <w:szCs w:val="22"/>
                <w:u w:val="single"/>
              </w:rPr>
            </w:pPr>
            <w:r>
              <w:rPr>
                <w:rFonts w:hint="default" w:ascii="Times New Roman" w:hAnsi="Times New Roman" w:eastAsia="等线" w:cs="Times New Roman"/>
                <w:i/>
                <w:iCs/>
                <w:color w:val="000000"/>
                <w:kern w:val="0"/>
                <w:sz w:val="22"/>
                <w:szCs w:val="22"/>
                <w:u w:val="single"/>
                <w:lang w:val="en-US" w:eastAsia="zh-CN" w:bidi="ar"/>
              </w:rPr>
              <w:t>采用CROSSCENTRIC滑轮系统+AVS同心转轴，宽厚弓把，需适合复杂比赛环境。裸弓重量：4.38-4.69磅，轴距：30-40英寸，弓档高度：6-7.5英寸，拉重：40-70磅，省力比：70%-85%。</w:t>
            </w:r>
          </w:p>
        </w:tc>
        <w:tc>
          <w:tcPr>
            <w:tcW w:w="576" w:type="dxa"/>
            <w:tcBorders>
              <w:tl2br w:val="nil"/>
              <w:tr2bl w:val="nil"/>
            </w:tcBorders>
            <w:shd w:val="clear" w:color="auto" w:fill="auto"/>
            <w:noWrap/>
            <w:tcMar>
              <w:top w:w="15" w:type="dxa"/>
              <w:left w:w="15" w:type="dxa"/>
              <w:right w:w="15" w:type="dxa"/>
            </w:tcMar>
            <w:vAlign w:val="center"/>
          </w:tcPr>
          <w:p w14:paraId="4C3D1F91">
            <w:pPr>
              <w:keepNext w:val="0"/>
              <w:keepLines w:val="0"/>
              <w:widowControl/>
              <w:suppressLineNumbers w:val="0"/>
              <w:jc w:val="center"/>
              <w:textAlignment w:val="center"/>
              <w:rPr>
                <w:rFonts w:hint="default" w:ascii="Times New Roman" w:hAnsi="Times New Roman" w:eastAsia="等线" w:cs="Times New Roman"/>
                <w:i/>
                <w:iCs/>
                <w:color w:val="000000"/>
                <w:sz w:val="22"/>
                <w:szCs w:val="22"/>
                <w:u w:val="single"/>
              </w:rPr>
            </w:pPr>
            <w:r>
              <w:rPr>
                <w:rFonts w:hint="default" w:ascii="Times New Roman" w:hAnsi="Times New Roman" w:eastAsia="等线" w:cs="Times New Roman"/>
                <w:i/>
                <w:iCs/>
                <w:color w:val="000000"/>
                <w:kern w:val="0"/>
                <w:sz w:val="22"/>
                <w:szCs w:val="22"/>
                <w:u w:val="single"/>
                <w:lang w:val="en-US" w:eastAsia="zh-CN" w:bidi="ar"/>
              </w:rPr>
              <w:t>4</w:t>
            </w:r>
          </w:p>
        </w:tc>
        <w:tc>
          <w:tcPr>
            <w:tcW w:w="630" w:type="dxa"/>
            <w:tcBorders>
              <w:tl2br w:val="nil"/>
              <w:tr2bl w:val="nil"/>
            </w:tcBorders>
            <w:shd w:val="clear" w:color="auto" w:fill="auto"/>
            <w:noWrap/>
            <w:tcMar>
              <w:top w:w="15" w:type="dxa"/>
              <w:left w:w="15" w:type="dxa"/>
              <w:right w:w="15" w:type="dxa"/>
            </w:tcMar>
            <w:vAlign w:val="center"/>
          </w:tcPr>
          <w:p w14:paraId="7F982005">
            <w:pPr>
              <w:keepNext w:val="0"/>
              <w:keepLines w:val="0"/>
              <w:widowControl/>
              <w:suppressLineNumbers w:val="0"/>
              <w:jc w:val="center"/>
              <w:textAlignment w:val="center"/>
              <w:rPr>
                <w:rFonts w:hint="default" w:ascii="Times New Roman" w:hAnsi="Times New Roman" w:eastAsia="等线" w:cs="Times New Roman"/>
                <w:i/>
                <w:iCs/>
                <w:color w:val="000000"/>
                <w:sz w:val="22"/>
                <w:szCs w:val="22"/>
                <w:u w:val="single"/>
              </w:rPr>
            </w:pPr>
            <w:r>
              <w:rPr>
                <w:rFonts w:hint="default" w:ascii="Times New Roman" w:hAnsi="Times New Roman" w:eastAsia="等线" w:cs="Times New Roman"/>
                <w:i/>
                <w:iCs/>
                <w:color w:val="000000"/>
                <w:kern w:val="0"/>
                <w:sz w:val="22"/>
                <w:szCs w:val="22"/>
                <w:u w:val="single"/>
                <w:lang w:val="en-US" w:eastAsia="zh-CN" w:bidi="ar"/>
              </w:rPr>
              <w:t>把</w:t>
            </w:r>
          </w:p>
        </w:tc>
        <w:tc>
          <w:tcPr>
            <w:tcW w:w="630" w:type="dxa"/>
            <w:tcBorders>
              <w:tl2br w:val="nil"/>
              <w:tr2bl w:val="nil"/>
            </w:tcBorders>
            <w:shd w:val="clear" w:color="auto" w:fill="auto"/>
            <w:noWrap/>
            <w:tcMar>
              <w:top w:w="15" w:type="dxa"/>
              <w:left w:w="15" w:type="dxa"/>
              <w:right w:w="15" w:type="dxa"/>
            </w:tcMar>
            <w:vAlign w:val="center"/>
          </w:tcPr>
          <w:p w14:paraId="397BA5DC">
            <w:pPr>
              <w:keepNext w:val="0"/>
              <w:keepLines w:val="0"/>
              <w:widowControl/>
              <w:suppressLineNumbers w:val="0"/>
              <w:jc w:val="center"/>
              <w:textAlignment w:val="center"/>
              <w:rPr>
                <w:rFonts w:hint="default" w:ascii="Times New Roman" w:hAnsi="Times New Roman" w:eastAsia="宋体" w:cs="Times New Roman"/>
                <w:i/>
                <w:iCs/>
                <w:color w:val="000000"/>
                <w:sz w:val="22"/>
                <w:szCs w:val="22"/>
                <w:u w:val="single"/>
              </w:rPr>
            </w:pPr>
            <w:r>
              <w:rPr>
                <w:rFonts w:hint="default" w:ascii="Times New Roman" w:hAnsi="Times New Roman" w:eastAsia="宋体" w:cs="Times New Roman"/>
                <w:i/>
                <w:iCs/>
                <w:color w:val="000000"/>
                <w:kern w:val="0"/>
                <w:sz w:val="22"/>
                <w:szCs w:val="22"/>
                <w:u w:val="single"/>
                <w:lang w:val="en-US" w:eastAsia="zh-CN" w:bidi="ar"/>
              </w:rPr>
              <w:t>是</w:t>
            </w:r>
          </w:p>
        </w:tc>
      </w:tr>
      <w:tr w14:paraId="454BD7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23B0B0EE">
            <w:pPr>
              <w:keepNext w:val="0"/>
              <w:keepLines w:val="0"/>
              <w:widowControl/>
              <w:suppressLineNumbers w:val="0"/>
              <w:jc w:val="center"/>
              <w:textAlignment w:val="center"/>
              <w:rPr>
                <w:rFonts w:hint="default" w:ascii="Times New Roman" w:hAnsi="Times New Roman" w:eastAsia="宋体" w:cs="Times New Roman"/>
                <w:i/>
                <w:iCs/>
                <w:color w:val="000000"/>
                <w:sz w:val="22"/>
                <w:szCs w:val="22"/>
                <w:u w:val="single"/>
              </w:rPr>
            </w:pPr>
            <w:r>
              <w:rPr>
                <w:rFonts w:hint="default" w:ascii="Times New Roman" w:hAnsi="Times New Roman" w:eastAsia="宋体" w:cs="Times New Roman"/>
                <w:i/>
                <w:iCs/>
                <w:color w:val="000000"/>
                <w:kern w:val="0"/>
                <w:sz w:val="22"/>
                <w:szCs w:val="22"/>
                <w:u w:val="single"/>
                <w:lang w:val="en-US" w:eastAsia="zh-CN" w:bidi="ar"/>
              </w:rPr>
              <w:t>3</w:t>
            </w:r>
          </w:p>
        </w:tc>
        <w:tc>
          <w:tcPr>
            <w:tcW w:w="1130" w:type="dxa"/>
            <w:tcBorders>
              <w:tl2br w:val="nil"/>
              <w:tr2bl w:val="nil"/>
            </w:tcBorders>
            <w:shd w:val="clear" w:color="auto" w:fill="auto"/>
            <w:noWrap/>
            <w:tcMar>
              <w:top w:w="15" w:type="dxa"/>
              <w:left w:w="15" w:type="dxa"/>
              <w:right w:w="15" w:type="dxa"/>
            </w:tcMar>
            <w:vAlign w:val="center"/>
          </w:tcPr>
          <w:p w14:paraId="3A779FC9">
            <w:pPr>
              <w:keepNext w:val="0"/>
              <w:keepLines w:val="0"/>
              <w:widowControl/>
              <w:suppressLineNumbers w:val="0"/>
              <w:jc w:val="center"/>
              <w:textAlignment w:val="center"/>
              <w:rPr>
                <w:rFonts w:hint="default" w:ascii="Times New Roman" w:hAnsi="Times New Roman" w:eastAsia="等线" w:cs="Times New Roman"/>
                <w:i/>
                <w:iCs/>
                <w:color w:val="000000"/>
                <w:sz w:val="22"/>
                <w:szCs w:val="22"/>
                <w:u w:val="single"/>
              </w:rPr>
            </w:pPr>
            <w:r>
              <w:rPr>
                <w:rFonts w:hint="default" w:ascii="Times New Roman" w:hAnsi="Times New Roman" w:eastAsia="等线" w:cs="Times New Roman"/>
                <w:i/>
                <w:iCs/>
                <w:color w:val="000000"/>
                <w:kern w:val="0"/>
                <w:sz w:val="22"/>
                <w:szCs w:val="22"/>
                <w:u w:val="single"/>
                <w:lang w:val="en-US" w:eastAsia="zh-CN" w:bidi="ar"/>
              </w:rPr>
              <w:t>平衡杆</w:t>
            </w:r>
          </w:p>
        </w:tc>
        <w:tc>
          <w:tcPr>
            <w:tcW w:w="5541" w:type="dxa"/>
            <w:tcBorders>
              <w:tl2br w:val="nil"/>
              <w:tr2bl w:val="nil"/>
            </w:tcBorders>
            <w:shd w:val="clear" w:color="auto" w:fill="auto"/>
            <w:tcMar>
              <w:top w:w="15" w:type="dxa"/>
              <w:left w:w="15" w:type="dxa"/>
              <w:right w:w="15" w:type="dxa"/>
            </w:tcMar>
            <w:vAlign w:val="center"/>
          </w:tcPr>
          <w:p w14:paraId="195765E7">
            <w:pPr>
              <w:keepNext w:val="0"/>
              <w:keepLines w:val="0"/>
              <w:widowControl/>
              <w:suppressLineNumbers w:val="0"/>
              <w:jc w:val="left"/>
              <w:textAlignment w:val="center"/>
              <w:rPr>
                <w:rFonts w:hint="default" w:ascii="Times New Roman" w:hAnsi="Times New Roman" w:eastAsia="等线" w:cs="Times New Roman"/>
                <w:i/>
                <w:iCs/>
                <w:color w:val="000000"/>
                <w:sz w:val="22"/>
                <w:szCs w:val="22"/>
                <w:u w:val="single"/>
              </w:rPr>
            </w:pPr>
            <w:r>
              <w:rPr>
                <w:rFonts w:hint="default" w:ascii="Times New Roman" w:hAnsi="Times New Roman" w:eastAsia="等线" w:cs="Times New Roman"/>
                <w:i/>
                <w:iCs/>
                <w:color w:val="000000"/>
                <w:kern w:val="0"/>
                <w:sz w:val="22"/>
                <w:szCs w:val="22"/>
                <w:u w:val="single"/>
                <w:lang w:val="en-US" w:eastAsia="zh-CN" w:bidi="ar"/>
              </w:rPr>
              <w:t>前杆长：30英寸，侧杆长：12英寸、13.5英寸，杆内含钨钢砂，含平衡杆快拆V座（0°，8°）。自由式稳定杆，高模块碳管，需可在防震杆前面和后面安装配重，支持1 /4-20螺纹。</w:t>
            </w:r>
          </w:p>
        </w:tc>
        <w:tc>
          <w:tcPr>
            <w:tcW w:w="576" w:type="dxa"/>
            <w:tcBorders>
              <w:tl2br w:val="nil"/>
              <w:tr2bl w:val="nil"/>
            </w:tcBorders>
            <w:shd w:val="clear" w:color="auto" w:fill="auto"/>
            <w:noWrap/>
            <w:tcMar>
              <w:top w:w="15" w:type="dxa"/>
              <w:left w:w="15" w:type="dxa"/>
              <w:right w:w="15" w:type="dxa"/>
            </w:tcMar>
            <w:vAlign w:val="center"/>
          </w:tcPr>
          <w:p w14:paraId="7DCA8D35">
            <w:pPr>
              <w:keepNext w:val="0"/>
              <w:keepLines w:val="0"/>
              <w:widowControl/>
              <w:suppressLineNumbers w:val="0"/>
              <w:jc w:val="center"/>
              <w:textAlignment w:val="center"/>
              <w:rPr>
                <w:rFonts w:hint="default" w:ascii="Times New Roman" w:hAnsi="Times New Roman" w:eastAsia="等线" w:cs="Times New Roman"/>
                <w:i/>
                <w:iCs/>
                <w:color w:val="000000"/>
                <w:sz w:val="22"/>
                <w:szCs w:val="22"/>
                <w:u w:val="single"/>
              </w:rPr>
            </w:pPr>
            <w:r>
              <w:rPr>
                <w:rFonts w:hint="eastAsia" w:ascii="Times New Roman" w:hAnsi="Times New Roman" w:eastAsia="等线" w:cs="Times New Roman"/>
                <w:i/>
                <w:iCs/>
                <w:color w:val="000000"/>
                <w:kern w:val="0"/>
                <w:sz w:val="22"/>
                <w:szCs w:val="22"/>
                <w:u w:val="single"/>
                <w:lang w:val="en-US" w:eastAsia="zh-CN" w:bidi="ar"/>
              </w:rPr>
              <w:t>8</w:t>
            </w:r>
          </w:p>
        </w:tc>
        <w:tc>
          <w:tcPr>
            <w:tcW w:w="630" w:type="dxa"/>
            <w:tcBorders>
              <w:tl2br w:val="nil"/>
              <w:tr2bl w:val="nil"/>
            </w:tcBorders>
            <w:shd w:val="clear" w:color="auto" w:fill="auto"/>
            <w:noWrap/>
            <w:tcMar>
              <w:top w:w="15" w:type="dxa"/>
              <w:left w:w="15" w:type="dxa"/>
              <w:right w:w="15" w:type="dxa"/>
            </w:tcMar>
            <w:vAlign w:val="center"/>
          </w:tcPr>
          <w:p w14:paraId="5ACBAC9C">
            <w:pPr>
              <w:keepNext w:val="0"/>
              <w:keepLines w:val="0"/>
              <w:widowControl/>
              <w:suppressLineNumbers w:val="0"/>
              <w:jc w:val="center"/>
              <w:textAlignment w:val="center"/>
              <w:rPr>
                <w:rFonts w:hint="default" w:ascii="Times New Roman" w:hAnsi="Times New Roman" w:eastAsia="等线" w:cs="Times New Roman"/>
                <w:i/>
                <w:iCs/>
                <w:color w:val="000000"/>
                <w:sz w:val="22"/>
                <w:szCs w:val="22"/>
                <w:u w:val="single"/>
              </w:rPr>
            </w:pPr>
            <w:r>
              <w:rPr>
                <w:rFonts w:hint="default" w:ascii="Times New Roman" w:hAnsi="Times New Roman" w:eastAsia="等线" w:cs="Times New Roman"/>
                <w:i/>
                <w:iCs/>
                <w:color w:val="000000"/>
                <w:kern w:val="0"/>
                <w:sz w:val="22"/>
                <w:szCs w:val="22"/>
                <w:u w:val="single"/>
                <w:lang w:val="en-US" w:eastAsia="zh-CN" w:bidi="ar"/>
              </w:rPr>
              <w:t>套</w:t>
            </w:r>
          </w:p>
        </w:tc>
        <w:tc>
          <w:tcPr>
            <w:tcW w:w="630" w:type="dxa"/>
            <w:tcBorders>
              <w:tl2br w:val="nil"/>
              <w:tr2bl w:val="nil"/>
            </w:tcBorders>
            <w:shd w:val="clear" w:color="auto" w:fill="auto"/>
            <w:noWrap/>
            <w:tcMar>
              <w:top w:w="15" w:type="dxa"/>
              <w:left w:w="15" w:type="dxa"/>
              <w:right w:w="15" w:type="dxa"/>
            </w:tcMar>
            <w:vAlign w:val="center"/>
          </w:tcPr>
          <w:p w14:paraId="42E752A8">
            <w:pPr>
              <w:keepNext w:val="0"/>
              <w:keepLines w:val="0"/>
              <w:widowControl/>
              <w:suppressLineNumbers w:val="0"/>
              <w:jc w:val="center"/>
              <w:textAlignment w:val="center"/>
              <w:rPr>
                <w:rFonts w:hint="default" w:ascii="Times New Roman" w:hAnsi="Times New Roman" w:eastAsia="宋体" w:cs="Times New Roman"/>
                <w:i/>
                <w:iCs/>
                <w:color w:val="000000"/>
                <w:sz w:val="22"/>
                <w:szCs w:val="22"/>
                <w:u w:val="single"/>
              </w:rPr>
            </w:pPr>
            <w:r>
              <w:rPr>
                <w:rFonts w:hint="default" w:ascii="Times New Roman" w:hAnsi="Times New Roman" w:eastAsia="宋体" w:cs="Times New Roman"/>
                <w:i/>
                <w:iCs/>
                <w:color w:val="000000"/>
                <w:kern w:val="0"/>
                <w:sz w:val="22"/>
                <w:szCs w:val="22"/>
                <w:u w:val="single"/>
                <w:lang w:val="en-US" w:eastAsia="zh-CN" w:bidi="ar"/>
              </w:rPr>
              <w:t>是</w:t>
            </w:r>
          </w:p>
        </w:tc>
      </w:tr>
      <w:tr w14:paraId="5677AA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4465A8BC">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4</w:t>
            </w:r>
          </w:p>
        </w:tc>
        <w:tc>
          <w:tcPr>
            <w:tcW w:w="1130" w:type="dxa"/>
            <w:tcBorders>
              <w:tl2br w:val="nil"/>
              <w:tr2bl w:val="nil"/>
            </w:tcBorders>
            <w:shd w:val="clear" w:color="auto" w:fill="auto"/>
            <w:noWrap/>
            <w:tcMar>
              <w:top w:w="15" w:type="dxa"/>
              <w:left w:w="15" w:type="dxa"/>
              <w:right w:w="15" w:type="dxa"/>
            </w:tcMar>
            <w:vAlign w:val="center"/>
          </w:tcPr>
          <w:p w14:paraId="6ABEFAB4">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瞄头</w:t>
            </w:r>
          </w:p>
        </w:tc>
        <w:tc>
          <w:tcPr>
            <w:tcW w:w="5541" w:type="dxa"/>
            <w:tcBorders>
              <w:tl2br w:val="nil"/>
              <w:tr2bl w:val="nil"/>
            </w:tcBorders>
            <w:shd w:val="clear" w:color="auto" w:fill="auto"/>
            <w:tcMar>
              <w:top w:w="15" w:type="dxa"/>
              <w:left w:w="15" w:type="dxa"/>
              <w:right w:w="15" w:type="dxa"/>
            </w:tcMar>
            <w:vAlign w:val="center"/>
          </w:tcPr>
          <w:p w14:paraId="57325B5B">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主镜筒材质：PPA-CF工程材料。内部可视通光直径范围：25MM~35MM。倍率范围：4×、6×、8×，支持变焦。主镜筒重量范围：15g~20g。</w:t>
            </w:r>
          </w:p>
        </w:tc>
        <w:tc>
          <w:tcPr>
            <w:tcW w:w="576" w:type="dxa"/>
            <w:tcBorders>
              <w:tl2br w:val="nil"/>
              <w:tr2bl w:val="nil"/>
            </w:tcBorders>
            <w:shd w:val="clear" w:color="auto" w:fill="auto"/>
            <w:noWrap/>
            <w:tcMar>
              <w:top w:w="15" w:type="dxa"/>
              <w:left w:w="15" w:type="dxa"/>
              <w:right w:w="15" w:type="dxa"/>
            </w:tcMar>
            <w:vAlign w:val="center"/>
          </w:tcPr>
          <w:p w14:paraId="38B22145">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1</w:t>
            </w:r>
            <w:r>
              <w:rPr>
                <w:rFonts w:hint="eastAsia" w:ascii="Times New Roman" w:hAnsi="Times New Roman" w:eastAsia="等线" w:cs="Times New Roman"/>
                <w:i/>
                <w:iCs/>
                <w:color w:val="000000"/>
                <w:kern w:val="0"/>
                <w:sz w:val="22"/>
                <w:szCs w:val="22"/>
                <w:u w:val="single"/>
                <w:lang w:val="en-US" w:eastAsia="zh-CN" w:bidi="ar"/>
              </w:rPr>
              <w:t>0</w:t>
            </w:r>
          </w:p>
        </w:tc>
        <w:tc>
          <w:tcPr>
            <w:tcW w:w="630" w:type="dxa"/>
            <w:tcBorders>
              <w:tl2br w:val="nil"/>
              <w:tr2bl w:val="nil"/>
            </w:tcBorders>
            <w:shd w:val="clear" w:color="auto" w:fill="auto"/>
            <w:noWrap/>
            <w:tcMar>
              <w:top w:w="15" w:type="dxa"/>
              <w:left w:w="15" w:type="dxa"/>
              <w:right w:w="15" w:type="dxa"/>
            </w:tcMar>
            <w:vAlign w:val="center"/>
          </w:tcPr>
          <w:p w14:paraId="6773130C">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77CA8C15">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6733EC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4EF629A2">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5</w:t>
            </w:r>
          </w:p>
        </w:tc>
        <w:tc>
          <w:tcPr>
            <w:tcW w:w="1130" w:type="dxa"/>
            <w:tcBorders>
              <w:tl2br w:val="nil"/>
              <w:tr2bl w:val="nil"/>
            </w:tcBorders>
            <w:shd w:val="clear" w:color="auto" w:fill="auto"/>
            <w:noWrap/>
            <w:tcMar>
              <w:top w:w="15" w:type="dxa"/>
              <w:left w:w="15" w:type="dxa"/>
              <w:right w:w="15" w:type="dxa"/>
            </w:tcMar>
            <w:vAlign w:val="center"/>
          </w:tcPr>
          <w:p w14:paraId="40551FAD">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瞄具</w:t>
            </w:r>
          </w:p>
        </w:tc>
        <w:tc>
          <w:tcPr>
            <w:tcW w:w="5541" w:type="dxa"/>
            <w:tcBorders>
              <w:tl2br w:val="nil"/>
              <w:tr2bl w:val="nil"/>
            </w:tcBorders>
            <w:shd w:val="clear" w:color="auto" w:fill="auto"/>
            <w:tcMar>
              <w:top w:w="15" w:type="dxa"/>
              <w:left w:w="15" w:type="dxa"/>
              <w:right w:w="15" w:type="dxa"/>
            </w:tcMar>
            <w:vAlign w:val="center"/>
          </w:tcPr>
          <w:p w14:paraId="04669967">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9寸碳素材质瞄架，风洞设计，刻度刻度盘精准调节，调节后可通过旋钮锁定，确保稳定性。兼容AXCEL系列瞄头。适配瞄头：包括 ​</w:t>
            </w:r>
            <w:r>
              <w:rPr>
                <w:rStyle w:val="311"/>
                <w:rFonts w:hint="default" w:ascii="Times New Roman" w:hAnsi="Times New Roman" w:cs="Times New Roman"/>
                <w:i/>
                <w:iCs/>
                <w:u w:val="single"/>
                <w:lang w:val="en-US" w:eastAsia="zh-CN" w:bidi="ar"/>
              </w:rPr>
              <w:t>AV31/AV41</w:t>
            </w:r>
            <w:r>
              <w:rPr>
                <w:rFonts w:hint="default" w:ascii="Times New Roman" w:hAnsi="Times New Roman" w:eastAsia="等线" w:cs="Times New Roman"/>
                <w:i/>
                <w:iCs/>
                <w:color w:val="000000"/>
                <w:kern w:val="0"/>
                <w:sz w:val="22"/>
                <w:szCs w:val="22"/>
                <w:u w:val="single"/>
                <w:lang w:val="en-US" w:eastAsia="zh-CN" w:bidi="ar"/>
              </w:rPr>
              <w:t>​</w:t>
            </w:r>
            <w:r>
              <w:rPr>
                <w:rStyle w:val="311"/>
                <w:rFonts w:hint="default" w:ascii="Times New Roman" w:hAnsi="Times New Roman" w:cs="Times New Roman"/>
                <w:i/>
                <w:iCs/>
                <w:u w:val="single"/>
                <w:lang w:val="en-US" w:eastAsia="zh-CN" w:bidi="ar"/>
              </w:rPr>
              <w:t>（光纤准星）、AVX</w:t>
            </w:r>
            <w:r>
              <w:rPr>
                <w:rFonts w:hint="default" w:ascii="Times New Roman" w:hAnsi="Times New Roman" w:eastAsia="等线" w:cs="Times New Roman"/>
                <w:i/>
                <w:iCs/>
                <w:color w:val="000000"/>
                <w:kern w:val="0"/>
                <w:sz w:val="22"/>
                <w:szCs w:val="22"/>
                <w:u w:val="single"/>
                <w:lang w:val="en-US" w:eastAsia="zh-CN" w:bidi="ar"/>
              </w:rPr>
              <w:t>​</w:t>
            </w:r>
            <w:r>
              <w:rPr>
                <w:rStyle w:val="311"/>
                <w:rFonts w:hint="default" w:ascii="Times New Roman" w:hAnsi="Times New Roman" w:cs="Times New Roman"/>
                <w:i/>
                <w:iCs/>
                <w:u w:val="single"/>
                <w:lang w:val="en-US" w:eastAsia="zh-CN" w:bidi="ar"/>
              </w:rPr>
              <w:t>（8倍放大镜）等，支持快速更换。</w:t>
            </w:r>
          </w:p>
        </w:tc>
        <w:tc>
          <w:tcPr>
            <w:tcW w:w="576" w:type="dxa"/>
            <w:tcBorders>
              <w:tl2br w:val="nil"/>
              <w:tr2bl w:val="nil"/>
            </w:tcBorders>
            <w:shd w:val="clear" w:color="auto" w:fill="auto"/>
            <w:noWrap/>
            <w:tcMar>
              <w:top w:w="15" w:type="dxa"/>
              <w:left w:w="15" w:type="dxa"/>
              <w:right w:w="15" w:type="dxa"/>
            </w:tcMar>
            <w:vAlign w:val="center"/>
          </w:tcPr>
          <w:p w14:paraId="3FB9E2CD">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1</w:t>
            </w:r>
            <w:r>
              <w:rPr>
                <w:rFonts w:hint="eastAsia" w:ascii="Times New Roman" w:hAnsi="Times New Roman" w:eastAsia="等线" w:cs="Times New Roman"/>
                <w:i/>
                <w:iCs/>
                <w:color w:val="000000"/>
                <w:kern w:val="0"/>
                <w:sz w:val="22"/>
                <w:szCs w:val="22"/>
                <w:u w:val="single"/>
                <w:lang w:val="en-US" w:eastAsia="zh-CN" w:bidi="ar"/>
              </w:rPr>
              <w:t>0</w:t>
            </w:r>
          </w:p>
        </w:tc>
        <w:tc>
          <w:tcPr>
            <w:tcW w:w="630" w:type="dxa"/>
            <w:tcBorders>
              <w:tl2br w:val="nil"/>
              <w:tr2bl w:val="nil"/>
            </w:tcBorders>
            <w:shd w:val="clear" w:color="auto" w:fill="auto"/>
            <w:noWrap/>
            <w:tcMar>
              <w:top w:w="15" w:type="dxa"/>
              <w:left w:w="15" w:type="dxa"/>
              <w:right w:w="15" w:type="dxa"/>
            </w:tcMar>
            <w:vAlign w:val="center"/>
          </w:tcPr>
          <w:p w14:paraId="3E85BD51">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74D12D3A">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638007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32BCB42A">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6</w:t>
            </w:r>
          </w:p>
        </w:tc>
        <w:tc>
          <w:tcPr>
            <w:tcW w:w="1130" w:type="dxa"/>
            <w:tcBorders>
              <w:tl2br w:val="nil"/>
              <w:tr2bl w:val="nil"/>
            </w:tcBorders>
            <w:shd w:val="clear" w:color="auto" w:fill="auto"/>
            <w:noWrap/>
            <w:tcMar>
              <w:top w:w="15" w:type="dxa"/>
              <w:left w:w="15" w:type="dxa"/>
              <w:right w:w="15" w:type="dxa"/>
            </w:tcMar>
            <w:vAlign w:val="center"/>
          </w:tcPr>
          <w:p w14:paraId="44C2DFB4">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撒放器</w:t>
            </w:r>
          </w:p>
        </w:tc>
        <w:tc>
          <w:tcPr>
            <w:tcW w:w="5541" w:type="dxa"/>
            <w:tcBorders>
              <w:tl2br w:val="nil"/>
              <w:tr2bl w:val="nil"/>
            </w:tcBorders>
            <w:shd w:val="clear" w:color="auto" w:fill="auto"/>
            <w:tcMar>
              <w:top w:w="15" w:type="dxa"/>
              <w:left w:w="15" w:type="dxa"/>
              <w:right w:w="15" w:type="dxa"/>
            </w:tcMar>
            <w:vAlign w:val="center"/>
          </w:tcPr>
          <w:p w14:paraId="29A1065E">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highlight w:val="none"/>
                <w:u w:val="single"/>
                <w:lang w:val="en-US" w:eastAsia="zh-CN" w:bidi="ar"/>
              </w:rPr>
              <w:t>背加力+扳机两种模式可切换。半黑色铝锥形手柄和铰接指片，三指或四指配置。</w:t>
            </w:r>
          </w:p>
        </w:tc>
        <w:tc>
          <w:tcPr>
            <w:tcW w:w="576" w:type="dxa"/>
            <w:tcBorders>
              <w:tl2br w:val="nil"/>
              <w:tr2bl w:val="nil"/>
            </w:tcBorders>
            <w:shd w:val="clear" w:color="auto" w:fill="auto"/>
            <w:noWrap/>
            <w:tcMar>
              <w:top w:w="15" w:type="dxa"/>
              <w:left w:w="15" w:type="dxa"/>
              <w:right w:w="15" w:type="dxa"/>
            </w:tcMar>
            <w:vAlign w:val="center"/>
          </w:tcPr>
          <w:p w14:paraId="36513148">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6</w:t>
            </w:r>
          </w:p>
        </w:tc>
        <w:tc>
          <w:tcPr>
            <w:tcW w:w="630" w:type="dxa"/>
            <w:tcBorders>
              <w:tl2br w:val="nil"/>
              <w:tr2bl w:val="nil"/>
            </w:tcBorders>
            <w:shd w:val="clear" w:color="auto" w:fill="auto"/>
            <w:noWrap/>
            <w:tcMar>
              <w:top w:w="15" w:type="dxa"/>
              <w:left w:w="15" w:type="dxa"/>
              <w:right w:w="15" w:type="dxa"/>
            </w:tcMar>
            <w:vAlign w:val="center"/>
          </w:tcPr>
          <w:p w14:paraId="1B4F5CD7">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420EB3A2">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7FCE00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27" w:hRule="atLeast"/>
        </w:trPr>
        <w:tc>
          <w:tcPr>
            <w:tcW w:w="470" w:type="dxa"/>
            <w:tcBorders>
              <w:tl2br w:val="nil"/>
              <w:tr2bl w:val="nil"/>
            </w:tcBorders>
            <w:shd w:val="clear" w:color="auto" w:fill="auto"/>
            <w:noWrap/>
            <w:tcMar>
              <w:top w:w="15" w:type="dxa"/>
              <w:left w:w="15" w:type="dxa"/>
              <w:right w:w="15" w:type="dxa"/>
            </w:tcMar>
            <w:vAlign w:val="center"/>
          </w:tcPr>
          <w:p w14:paraId="7A066816">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7</w:t>
            </w:r>
          </w:p>
        </w:tc>
        <w:tc>
          <w:tcPr>
            <w:tcW w:w="1130" w:type="dxa"/>
            <w:tcBorders>
              <w:tl2br w:val="nil"/>
              <w:tr2bl w:val="nil"/>
            </w:tcBorders>
            <w:shd w:val="clear" w:color="auto" w:fill="auto"/>
            <w:noWrap/>
            <w:tcMar>
              <w:top w:w="15" w:type="dxa"/>
              <w:left w:w="15" w:type="dxa"/>
              <w:right w:w="15" w:type="dxa"/>
            </w:tcMar>
            <w:vAlign w:val="center"/>
          </w:tcPr>
          <w:p w14:paraId="29C759B6">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撒放器1</w:t>
            </w:r>
          </w:p>
        </w:tc>
        <w:tc>
          <w:tcPr>
            <w:tcW w:w="5541" w:type="dxa"/>
            <w:tcBorders>
              <w:tl2br w:val="nil"/>
              <w:tr2bl w:val="nil"/>
            </w:tcBorders>
            <w:shd w:val="clear" w:color="auto" w:fill="auto"/>
            <w:tcMar>
              <w:top w:w="15" w:type="dxa"/>
              <w:left w:w="15" w:type="dxa"/>
              <w:right w:w="15" w:type="dxa"/>
            </w:tcMar>
            <w:vAlign w:val="center"/>
          </w:tcPr>
          <w:p w14:paraId="37476136">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highlight w:val="none"/>
                <w:u w:val="single"/>
                <w:lang w:val="en-US" w:eastAsia="zh-CN" w:bidi="ar"/>
              </w:rPr>
              <w:t>支持三指或四指模型，30度可调。</w:t>
            </w:r>
          </w:p>
        </w:tc>
        <w:tc>
          <w:tcPr>
            <w:tcW w:w="576" w:type="dxa"/>
            <w:tcBorders>
              <w:tl2br w:val="nil"/>
              <w:tr2bl w:val="nil"/>
            </w:tcBorders>
            <w:shd w:val="clear" w:color="auto" w:fill="auto"/>
            <w:noWrap/>
            <w:tcMar>
              <w:top w:w="15" w:type="dxa"/>
              <w:left w:w="15" w:type="dxa"/>
              <w:right w:w="15" w:type="dxa"/>
            </w:tcMar>
            <w:vAlign w:val="center"/>
          </w:tcPr>
          <w:p w14:paraId="6124D9D2">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4</w:t>
            </w:r>
          </w:p>
        </w:tc>
        <w:tc>
          <w:tcPr>
            <w:tcW w:w="630" w:type="dxa"/>
            <w:tcBorders>
              <w:tl2br w:val="nil"/>
              <w:tr2bl w:val="nil"/>
            </w:tcBorders>
            <w:shd w:val="clear" w:color="auto" w:fill="auto"/>
            <w:noWrap/>
            <w:tcMar>
              <w:top w:w="15" w:type="dxa"/>
              <w:left w:w="15" w:type="dxa"/>
              <w:right w:w="15" w:type="dxa"/>
            </w:tcMar>
            <w:vAlign w:val="center"/>
          </w:tcPr>
          <w:p w14:paraId="084D8AD8">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2C127536">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224123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60DF1A13">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8</w:t>
            </w:r>
          </w:p>
        </w:tc>
        <w:tc>
          <w:tcPr>
            <w:tcW w:w="1130" w:type="dxa"/>
            <w:tcBorders>
              <w:tl2br w:val="nil"/>
              <w:tr2bl w:val="nil"/>
            </w:tcBorders>
            <w:shd w:val="clear" w:color="auto" w:fill="auto"/>
            <w:noWrap/>
            <w:tcMar>
              <w:top w:w="15" w:type="dxa"/>
              <w:left w:w="15" w:type="dxa"/>
              <w:right w:w="15" w:type="dxa"/>
            </w:tcMar>
            <w:vAlign w:val="center"/>
          </w:tcPr>
          <w:p w14:paraId="763FC150">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撒放器2</w:t>
            </w:r>
          </w:p>
        </w:tc>
        <w:tc>
          <w:tcPr>
            <w:tcW w:w="5541" w:type="dxa"/>
            <w:tcBorders>
              <w:tl2br w:val="nil"/>
              <w:tr2bl w:val="nil"/>
            </w:tcBorders>
            <w:shd w:val="clear" w:color="auto" w:fill="auto"/>
            <w:tcMar>
              <w:top w:w="15" w:type="dxa"/>
              <w:left w:w="15" w:type="dxa"/>
              <w:right w:w="15" w:type="dxa"/>
            </w:tcMar>
            <w:vAlign w:val="center"/>
          </w:tcPr>
          <w:p w14:paraId="2F16A2AE">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重金属材质。分散手指压力，支持三指与四指切换，适应不同射手的手型与发力习惯。快拆卡扣设计。</w:t>
            </w:r>
          </w:p>
        </w:tc>
        <w:tc>
          <w:tcPr>
            <w:tcW w:w="576" w:type="dxa"/>
            <w:tcBorders>
              <w:tl2br w:val="nil"/>
              <w:tr2bl w:val="nil"/>
            </w:tcBorders>
            <w:shd w:val="clear" w:color="auto" w:fill="auto"/>
            <w:noWrap/>
            <w:tcMar>
              <w:top w:w="15" w:type="dxa"/>
              <w:left w:w="15" w:type="dxa"/>
              <w:right w:w="15" w:type="dxa"/>
            </w:tcMar>
            <w:vAlign w:val="center"/>
          </w:tcPr>
          <w:p w14:paraId="25F97722">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6</w:t>
            </w:r>
          </w:p>
        </w:tc>
        <w:tc>
          <w:tcPr>
            <w:tcW w:w="630" w:type="dxa"/>
            <w:tcBorders>
              <w:tl2br w:val="nil"/>
              <w:tr2bl w:val="nil"/>
            </w:tcBorders>
            <w:shd w:val="clear" w:color="auto" w:fill="auto"/>
            <w:noWrap/>
            <w:tcMar>
              <w:top w:w="15" w:type="dxa"/>
              <w:left w:w="15" w:type="dxa"/>
              <w:right w:w="15" w:type="dxa"/>
            </w:tcMar>
            <w:vAlign w:val="center"/>
          </w:tcPr>
          <w:p w14:paraId="27BED34E">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528A6BE6">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01A383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91" w:hRule="atLeast"/>
        </w:trPr>
        <w:tc>
          <w:tcPr>
            <w:tcW w:w="470" w:type="dxa"/>
            <w:tcBorders>
              <w:tl2br w:val="nil"/>
              <w:tr2bl w:val="nil"/>
            </w:tcBorders>
            <w:shd w:val="clear" w:color="auto" w:fill="auto"/>
            <w:noWrap/>
            <w:tcMar>
              <w:top w:w="15" w:type="dxa"/>
              <w:left w:w="15" w:type="dxa"/>
              <w:right w:w="15" w:type="dxa"/>
            </w:tcMar>
            <w:vAlign w:val="center"/>
          </w:tcPr>
          <w:p w14:paraId="2EE8D189">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9</w:t>
            </w:r>
          </w:p>
        </w:tc>
        <w:tc>
          <w:tcPr>
            <w:tcW w:w="1130" w:type="dxa"/>
            <w:tcBorders>
              <w:tl2br w:val="nil"/>
              <w:tr2bl w:val="nil"/>
            </w:tcBorders>
            <w:shd w:val="clear" w:color="auto" w:fill="auto"/>
            <w:noWrap/>
            <w:tcMar>
              <w:top w:w="15" w:type="dxa"/>
              <w:left w:w="15" w:type="dxa"/>
              <w:right w:w="15" w:type="dxa"/>
            </w:tcMar>
            <w:vAlign w:val="center"/>
          </w:tcPr>
          <w:p w14:paraId="395059D9">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箭台</w:t>
            </w:r>
          </w:p>
        </w:tc>
        <w:tc>
          <w:tcPr>
            <w:tcW w:w="5541" w:type="dxa"/>
            <w:tcBorders>
              <w:tl2br w:val="nil"/>
              <w:tr2bl w:val="nil"/>
            </w:tcBorders>
            <w:shd w:val="clear" w:color="auto" w:fill="auto"/>
            <w:tcMar>
              <w:top w:w="15" w:type="dxa"/>
              <w:left w:w="15" w:type="dxa"/>
              <w:right w:w="15" w:type="dxa"/>
            </w:tcMar>
            <w:vAlign w:val="center"/>
          </w:tcPr>
          <w:p w14:paraId="0A40AA6B">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钢片箭台。可实现上下左右微调的方式进行调整，减少误差。</w:t>
            </w:r>
          </w:p>
        </w:tc>
        <w:tc>
          <w:tcPr>
            <w:tcW w:w="576" w:type="dxa"/>
            <w:tcBorders>
              <w:tl2br w:val="nil"/>
              <w:tr2bl w:val="nil"/>
            </w:tcBorders>
            <w:shd w:val="clear" w:color="auto" w:fill="auto"/>
            <w:noWrap/>
            <w:tcMar>
              <w:top w:w="15" w:type="dxa"/>
              <w:left w:w="15" w:type="dxa"/>
              <w:right w:w="15" w:type="dxa"/>
            </w:tcMar>
            <w:vAlign w:val="center"/>
          </w:tcPr>
          <w:p w14:paraId="0A6677AA">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20</w:t>
            </w:r>
          </w:p>
        </w:tc>
        <w:tc>
          <w:tcPr>
            <w:tcW w:w="630" w:type="dxa"/>
            <w:tcBorders>
              <w:tl2br w:val="nil"/>
              <w:tr2bl w:val="nil"/>
            </w:tcBorders>
            <w:shd w:val="clear" w:color="auto" w:fill="auto"/>
            <w:noWrap/>
            <w:tcMar>
              <w:top w:w="15" w:type="dxa"/>
              <w:left w:w="15" w:type="dxa"/>
              <w:right w:w="15" w:type="dxa"/>
            </w:tcMar>
            <w:vAlign w:val="center"/>
          </w:tcPr>
          <w:p w14:paraId="61D99B09">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77120B72">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35AC7B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70" w:type="dxa"/>
            <w:tcBorders>
              <w:tl2br w:val="nil"/>
              <w:tr2bl w:val="nil"/>
            </w:tcBorders>
            <w:shd w:val="clear" w:color="auto" w:fill="auto"/>
            <w:noWrap/>
            <w:tcMar>
              <w:top w:w="15" w:type="dxa"/>
              <w:left w:w="15" w:type="dxa"/>
              <w:right w:w="15" w:type="dxa"/>
            </w:tcMar>
            <w:vAlign w:val="center"/>
          </w:tcPr>
          <w:p w14:paraId="2163A5F0">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10</w:t>
            </w:r>
          </w:p>
        </w:tc>
        <w:tc>
          <w:tcPr>
            <w:tcW w:w="1130" w:type="dxa"/>
            <w:tcBorders>
              <w:tl2br w:val="nil"/>
              <w:tr2bl w:val="nil"/>
            </w:tcBorders>
            <w:shd w:val="clear" w:color="auto" w:fill="auto"/>
            <w:noWrap/>
            <w:tcMar>
              <w:top w:w="15" w:type="dxa"/>
              <w:left w:w="15" w:type="dxa"/>
              <w:right w:w="15" w:type="dxa"/>
            </w:tcMar>
            <w:vAlign w:val="center"/>
          </w:tcPr>
          <w:p w14:paraId="073C769B">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窥孔</w:t>
            </w:r>
          </w:p>
        </w:tc>
        <w:tc>
          <w:tcPr>
            <w:tcW w:w="5541" w:type="dxa"/>
            <w:tcBorders>
              <w:tl2br w:val="nil"/>
              <w:tr2bl w:val="nil"/>
            </w:tcBorders>
            <w:shd w:val="clear" w:color="auto" w:fill="auto"/>
            <w:tcMar>
              <w:top w:w="15" w:type="dxa"/>
              <w:left w:w="15" w:type="dxa"/>
              <w:right w:w="15" w:type="dxa"/>
            </w:tcMar>
            <w:vAlign w:val="center"/>
          </w:tcPr>
          <w:p w14:paraId="642E8A06">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窥孔，澄清器配合使用，通过放大特定区域提升细节识别能力。</w:t>
            </w:r>
          </w:p>
        </w:tc>
        <w:tc>
          <w:tcPr>
            <w:tcW w:w="576" w:type="dxa"/>
            <w:tcBorders>
              <w:tl2br w:val="nil"/>
              <w:tr2bl w:val="nil"/>
            </w:tcBorders>
            <w:shd w:val="clear" w:color="auto" w:fill="auto"/>
            <w:noWrap/>
            <w:tcMar>
              <w:top w:w="15" w:type="dxa"/>
              <w:left w:w="15" w:type="dxa"/>
              <w:right w:w="15" w:type="dxa"/>
            </w:tcMar>
            <w:vAlign w:val="center"/>
          </w:tcPr>
          <w:p w14:paraId="19879CDD">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15</w:t>
            </w:r>
          </w:p>
        </w:tc>
        <w:tc>
          <w:tcPr>
            <w:tcW w:w="630" w:type="dxa"/>
            <w:tcBorders>
              <w:tl2br w:val="nil"/>
              <w:tr2bl w:val="nil"/>
            </w:tcBorders>
            <w:shd w:val="clear" w:color="auto" w:fill="auto"/>
            <w:noWrap/>
            <w:tcMar>
              <w:top w:w="15" w:type="dxa"/>
              <w:left w:w="15" w:type="dxa"/>
              <w:right w:w="15" w:type="dxa"/>
            </w:tcMar>
            <w:vAlign w:val="center"/>
          </w:tcPr>
          <w:p w14:paraId="16981663">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6D6EDD7A">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6DB2F3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1195" w:hRule="atLeast"/>
        </w:trPr>
        <w:tc>
          <w:tcPr>
            <w:tcW w:w="470" w:type="dxa"/>
            <w:tcBorders>
              <w:tl2br w:val="nil"/>
              <w:tr2bl w:val="nil"/>
            </w:tcBorders>
            <w:shd w:val="clear" w:color="auto" w:fill="auto"/>
            <w:noWrap/>
            <w:tcMar>
              <w:top w:w="15" w:type="dxa"/>
              <w:left w:w="15" w:type="dxa"/>
              <w:right w:w="15" w:type="dxa"/>
            </w:tcMar>
            <w:vAlign w:val="center"/>
          </w:tcPr>
          <w:p w14:paraId="550C3990">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11</w:t>
            </w:r>
          </w:p>
        </w:tc>
        <w:tc>
          <w:tcPr>
            <w:tcW w:w="1130" w:type="dxa"/>
            <w:tcBorders>
              <w:tl2br w:val="nil"/>
              <w:tr2bl w:val="nil"/>
            </w:tcBorders>
            <w:shd w:val="clear" w:color="auto" w:fill="auto"/>
            <w:noWrap/>
            <w:tcMar>
              <w:top w:w="15" w:type="dxa"/>
              <w:left w:w="15" w:type="dxa"/>
              <w:right w:w="15" w:type="dxa"/>
            </w:tcMar>
            <w:vAlign w:val="center"/>
          </w:tcPr>
          <w:p w14:paraId="5023D96D">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配重</w:t>
            </w:r>
          </w:p>
        </w:tc>
        <w:tc>
          <w:tcPr>
            <w:tcW w:w="5541" w:type="dxa"/>
            <w:tcBorders>
              <w:tl2br w:val="nil"/>
              <w:tr2bl w:val="nil"/>
            </w:tcBorders>
            <w:shd w:val="clear" w:color="auto" w:fill="auto"/>
            <w:tcMar>
              <w:top w:w="15" w:type="dxa"/>
              <w:left w:w="15" w:type="dxa"/>
              <w:right w:w="15" w:type="dxa"/>
            </w:tcMar>
            <w:vAlign w:val="center"/>
          </w:tcPr>
          <w:p w14:paraId="66B905B3">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采用1/2/4盎司标准配重块+橡胶减震垫，通过增减组合实现精准调节（如最大配重可达12盎司），配重块两端必须加装橡胶垫，减少金属碰撞噪音并吸收残余震动。</w:t>
            </w:r>
          </w:p>
        </w:tc>
        <w:tc>
          <w:tcPr>
            <w:tcW w:w="576" w:type="dxa"/>
            <w:tcBorders>
              <w:tl2br w:val="nil"/>
              <w:tr2bl w:val="nil"/>
            </w:tcBorders>
            <w:shd w:val="clear" w:color="auto" w:fill="auto"/>
            <w:noWrap/>
            <w:tcMar>
              <w:top w:w="15" w:type="dxa"/>
              <w:left w:w="15" w:type="dxa"/>
              <w:right w:w="15" w:type="dxa"/>
            </w:tcMar>
            <w:vAlign w:val="center"/>
          </w:tcPr>
          <w:p w14:paraId="1E73C87C">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100</w:t>
            </w:r>
          </w:p>
        </w:tc>
        <w:tc>
          <w:tcPr>
            <w:tcW w:w="630" w:type="dxa"/>
            <w:tcBorders>
              <w:tl2br w:val="nil"/>
              <w:tr2bl w:val="nil"/>
            </w:tcBorders>
            <w:shd w:val="clear" w:color="auto" w:fill="auto"/>
            <w:noWrap/>
            <w:tcMar>
              <w:top w:w="15" w:type="dxa"/>
              <w:left w:w="15" w:type="dxa"/>
              <w:right w:w="15" w:type="dxa"/>
            </w:tcMar>
            <w:vAlign w:val="center"/>
          </w:tcPr>
          <w:p w14:paraId="29BB9730">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套</w:t>
            </w:r>
          </w:p>
        </w:tc>
        <w:tc>
          <w:tcPr>
            <w:tcW w:w="630" w:type="dxa"/>
            <w:tcBorders>
              <w:tl2br w:val="nil"/>
              <w:tr2bl w:val="nil"/>
            </w:tcBorders>
            <w:shd w:val="clear" w:color="auto" w:fill="auto"/>
            <w:noWrap/>
            <w:tcMar>
              <w:top w:w="15" w:type="dxa"/>
              <w:left w:w="15" w:type="dxa"/>
              <w:right w:w="15" w:type="dxa"/>
            </w:tcMar>
            <w:vAlign w:val="center"/>
          </w:tcPr>
          <w:p w14:paraId="46D954C1">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0218DC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08AB63F6">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12</w:t>
            </w:r>
          </w:p>
        </w:tc>
        <w:tc>
          <w:tcPr>
            <w:tcW w:w="1130" w:type="dxa"/>
            <w:tcBorders>
              <w:tl2br w:val="nil"/>
              <w:tr2bl w:val="nil"/>
            </w:tcBorders>
            <w:shd w:val="clear" w:color="auto" w:fill="auto"/>
            <w:noWrap/>
            <w:tcMar>
              <w:top w:w="15" w:type="dxa"/>
              <w:left w:w="15" w:type="dxa"/>
              <w:right w:w="15" w:type="dxa"/>
            </w:tcMar>
            <w:vAlign w:val="center"/>
          </w:tcPr>
          <w:p w14:paraId="2F585627">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箭支</w:t>
            </w:r>
          </w:p>
        </w:tc>
        <w:tc>
          <w:tcPr>
            <w:tcW w:w="5541" w:type="dxa"/>
            <w:tcBorders>
              <w:tl2br w:val="nil"/>
              <w:tr2bl w:val="nil"/>
            </w:tcBorders>
            <w:shd w:val="clear" w:color="auto" w:fill="auto"/>
            <w:tcMar>
              <w:top w:w="15" w:type="dxa"/>
              <w:left w:w="15" w:type="dxa"/>
              <w:right w:w="15" w:type="dxa"/>
            </w:tcMar>
            <w:vAlign w:val="center"/>
          </w:tcPr>
          <w:p w14:paraId="5A028DCC">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专业比赛级别，碳铝箭，带箭头，每打12支，规格：内径：9/64英寸，铝芯壁厚：0.006英寸。由三层组成（</w:t>
            </w:r>
            <w:r>
              <w:rPr>
                <w:rFonts w:hint="default" w:ascii="Times New Roman" w:hAnsi="Times New Roman" w:eastAsia="Segoe UI" w:cs="Times New Roman"/>
                <w:i/>
                <w:iCs/>
                <w:caps w:val="0"/>
                <w:color w:val="000000"/>
                <w:spacing w:val="0"/>
                <w:u w:val="single"/>
                <w:vertAlign w:val="baseline"/>
              </w:rPr>
              <w:t>铝芯+碳包覆+碳缠绕</w:t>
            </w:r>
            <w:r>
              <w:rPr>
                <w:rFonts w:hint="default" w:ascii="Times New Roman" w:hAnsi="Times New Roman" w:eastAsia="等线" w:cs="Times New Roman"/>
                <w:i/>
                <w:iCs/>
                <w:color w:val="000000"/>
                <w:kern w:val="0"/>
                <w:sz w:val="22"/>
                <w:szCs w:val="22"/>
                <w:u w:val="single"/>
                <w:lang w:val="en-US" w:eastAsia="zh-CN" w:bidi="ar"/>
              </w:rPr>
              <w:t>），每支箭的重量范围为正负0.1格林，笔直度为正负0.0015英寸。</w:t>
            </w:r>
          </w:p>
        </w:tc>
        <w:tc>
          <w:tcPr>
            <w:tcW w:w="576" w:type="dxa"/>
            <w:tcBorders>
              <w:tl2br w:val="nil"/>
              <w:tr2bl w:val="nil"/>
            </w:tcBorders>
            <w:shd w:val="clear" w:color="auto" w:fill="auto"/>
            <w:noWrap/>
            <w:tcMar>
              <w:top w:w="15" w:type="dxa"/>
              <w:left w:w="15" w:type="dxa"/>
              <w:right w:w="15" w:type="dxa"/>
            </w:tcMar>
            <w:vAlign w:val="center"/>
          </w:tcPr>
          <w:p w14:paraId="65CC13A2">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eastAsia" w:ascii="Times New Roman" w:hAnsi="Times New Roman" w:eastAsia="等线" w:cs="Times New Roman"/>
                <w:i/>
                <w:iCs/>
                <w:color w:val="000000"/>
                <w:kern w:val="0"/>
                <w:sz w:val="22"/>
                <w:szCs w:val="22"/>
                <w:u w:val="single"/>
                <w:lang w:val="en-US" w:eastAsia="zh-CN" w:bidi="ar"/>
              </w:rPr>
              <w:t>75</w:t>
            </w:r>
          </w:p>
        </w:tc>
        <w:tc>
          <w:tcPr>
            <w:tcW w:w="630" w:type="dxa"/>
            <w:tcBorders>
              <w:tl2br w:val="nil"/>
              <w:tr2bl w:val="nil"/>
            </w:tcBorders>
            <w:shd w:val="clear" w:color="auto" w:fill="auto"/>
            <w:noWrap/>
            <w:tcMar>
              <w:top w:w="15" w:type="dxa"/>
              <w:left w:w="15" w:type="dxa"/>
              <w:right w:w="15" w:type="dxa"/>
            </w:tcMar>
            <w:vAlign w:val="center"/>
          </w:tcPr>
          <w:p w14:paraId="12F0442D">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打</w:t>
            </w:r>
          </w:p>
        </w:tc>
        <w:tc>
          <w:tcPr>
            <w:tcW w:w="630" w:type="dxa"/>
            <w:tcBorders>
              <w:tl2br w:val="nil"/>
              <w:tr2bl w:val="nil"/>
            </w:tcBorders>
            <w:shd w:val="clear" w:color="auto" w:fill="auto"/>
            <w:noWrap/>
            <w:tcMar>
              <w:top w:w="15" w:type="dxa"/>
              <w:left w:w="15" w:type="dxa"/>
              <w:right w:w="15" w:type="dxa"/>
            </w:tcMar>
            <w:vAlign w:val="center"/>
          </w:tcPr>
          <w:p w14:paraId="75B74562">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326FEE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901" w:hRule="atLeast"/>
        </w:trPr>
        <w:tc>
          <w:tcPr>
            <w:tcW w:w="470" w:type="dxa"/>
            <w:tcBorders>
              <w:tl2br w:val="nil"/>
              <w:tr2bl w:val="nil"/>
            </w:tcBorders>
            <w:shd w:val="clear" w:color="auto" w:fill="auto"/>
            <w:noWrap/>
            <w:tcMar>
              <w:top w:w="15" w:type="dxa"/>
              <w:left w:w="15" w:type="dxa"/>
              <w:right w:w="15" w:type="dxa"/>
            </w:tcMar>
            <w:vAlign w:val="center"/>
          </w:tcPr>
          <w:p w14:paraId="3C602EAA">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13</w:t>
            </w:r>
          </w:p>
        </w:tc>
        <w:tc>
          <w:tcPr>
            <w:tcW w:w="1130" w:type="dxa"/>
            <w:tcBorders>
              <w:tl2br w:val="nil"/>
              <w:tr2bl w:val="nil"/>
            </w:tcBorders>
            <w:shd w:val="clear" w:color="auto" w:fill="auto"/>
            <w:noWrap/>
            <w:tcMar>
              <w:top w:w="15" w:type="dxa"/>
              <w:left w:w="15" w:type="dxa"/>
              <w:right w:w="15" w:type="dxa"/>
            </w:tcMar>
            <w:vAlign w:val="center"/>
          </w:tcPr>
          <w:p w14:paraId="7ECCB6C5">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箭头</w:t>
            </w:r>
          </w:p>
        </w:tc>
        <w:tc>
          <w:tcPr>
            <w:tcW w:w="5541" w:type="dxa"/>
            <w:tcBorders>
              <w:tl2br w:val="nil"/>
              <w:tr2bl w:val="nil"/>
            </w:tcBorders>
            <w:shd w:val="clear" w:color="auto" w:fill="auto"/>
            <w:tcMar>
              <w:top w:w="15" w:type="dxa"/>
              <w:left w:w="15" w:type="dxa"/>
              <w:right w:w="15" w:type="dxa"/>
            </w:tcMar>
            <w:vAlign w:val="center"/>
          </w:tcPr>
          <w:p w14:paraId="78EE19A7">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材质：钨钢，重量100到120克的重量，适合X10碳素箭（每盒12枚带箭头胶），小巧稳定。</w:t>
            </w:r>
          </w:p>
        </w:tc>
        <w:tc>
          <w:tcPr>
            <w:tcW w:w="576" w:type="dxa"/>
            <w:tcBorders>
              <w:tl2br w:val="nil"/>
              <w:tr2bl w:val="nil"/>
            </w:tcBorders>
            <w:shd w:val="clear" w:color="auto" w:fill="auto"/>
            <w:noWrap/>
            <w:tcMar>
              <w:top w:w="15" w:type="dxa"/>
              <w:left w:w="15" w:type="dxa"/>
              <w:right w:w="15" w:type="dxa"/>
            </w:tcMar>
            <w:vAlign w:val="center"/>
          </w:tcPr>
          <w:p w14:paraId="1D0A761F">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eastAsia" w:ascii="Times New Roman" w:hAnsi="Times New Roman" w:eastAsia="等线" w:cs="Times New Roman"/>
                <w:i/>
                <w:iCs/>
                <w:color w:val="000000"/>
                <w:kern w:val="0"/>
                <w:sz w:val="22"/>
                <w:szCs w:val="22"/>
                <w:u w:val="single"/>
                <w:lang w:val="en-US" w:eastAsia="zh-CN" w:bidi="ar"/>
              </w:rPr>
              <w:t>75</w:t>
            </w:r>
            <w:bookmarkStart w:id="216" w:name="_GoBack"/>
            <w:bookmarkEnd w:id="216"/>
          </w:p>
        </w:tc>
        <w:tc>
          <w:tcPr>
            <w:tcW w:w="630" w:type="dxa"/>
            <w:tcBorders>
              <w:tl2br w:val="nil"/>
              <w:tr2bl w:val="nil"/>
            </w:tcBorders>
            <w:shd w:val="clear" w:color="auto" w:fill="auto"/>
            <w:noWrap/>
            <w:tcMar>
              <w:top w:w="15" w:type="dxa"/>
              <w:left w:w="15" w:type="dxa"/>
              <w:right w:w="15" w:type="dxa"/>
            </w:tcMar>
            <w:vAlign w:val="center"/>
          </w:tcPr>
          <w:p w14:paraId="5FAA1C47">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盒</w:t>
            </w:r>
          </w:p>
        </w:tc>
        <w:tc>
          <w:tcPr>
            <w:tcW w:w="630" w:type="dxa"/>
            <w:tcBorders>
              <w:tl2br w:val="nil"/>
              <w:tr2bl w:val="nil"/>
            </w:tcBorders>
            <w:shd w:val="clear" w:color="auto" w:fill="auto"/>
            <w:noWrap/>
            <w:tcMar>
              <w:top w:w="15" w:type="dxa"/>
              <w:left w:w="15" w:type="dxa"/>
              <w:right w:w="15" w:type="dxa"/>
            </w:tcMar>
            <w:vAlign w:val="center"/>
          </w:tcPr>
          <w:p w14:paraId="2B80FDFD">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73DD65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56" w:hRule="atLeast"/>
        </w:trPr>
        <w:tc>
          <w:tcPr>
            <w:tcW w:w="470" w:type="dxa"/>
            <w:tcBorders>
              <w:tl2br w:val="nil"/>
              <w:tr2bl w:val="nil"/>
            </w:tcBorders>
            <w:shd w:val="clear" w:color="auto" w:fill="auto"/>
            <w:noWrap/>
            <w:tcMar>
              <w:top w:w="15" w:type="dxa"/>
              <w:left w:w="15" w:type="dxa"/>
              <w:right w:w="15" w:type="dxa"/>
            </w:tcMar>
            <w:vAlign w:val="center"/>
          </w:tcPr>
          <w:p w14:paraId="5BE5F930">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14</w:t>
            </w:r>
          </w:p>
        </w:tc>
        <w:tc>
          <w:tcPr>
            <w:tcW w:w="1130" w:type="dxa"/>
            <w:tcBorders>
              <w:tl2br w:val="nil"/>
              <w:tr2bl w:val="nil"/>
            </w:tcBorders>
            <w:shd w:val="clear" w:color="auto" w:fill="auto"/>
            <w:noWrap/>
            <w:tcMar>
              <w:top w:w="15" w:type="dxa"/>
              <w:left w:w="15" w:type="dxa"/>
              <w:right w:w="15" w:type="dxa"/>
            </w:tcMar>
            <w:vAlign w:val="center"/>
          </w:tcPr>
          <w:p w14:paraId="379D5B50">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箭尾</w:t>
            </w:r>
          </w:p>
        </w:tc>
        <w:tc>
          <w:tcPr>
            <w:tcW w:w="5541" w:type="dxa"/>
            <w:tcBorders>
              <w:tl2br w:val="nil"/>
              <w:tr2bl w:val="nil"/>
            </w:tcBorders>
            <w:shd w:val="clear" w:color="auto" w:fill="auto"/>
            <w:tcMar>
              <w:top w:w="15" w:type="dxa"/>
              <w:left w:w="15" w:type="dxa"/>
              <w:right w:w="15" w:type="dxa"/>
            </w:tcMar>
            <w:vAlign w:val="center"/>
          </w:tcPr>
          <w:p w14:paraId="2607CB6F">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钉式，高强度、高韧性的工程塑料或金属合金。注塑或精密加工工艺，精度高，表面光滑细腻，材质性能稳定，能适应不同环境。</w:t>
            </w:r>
          </w:p>
        </w:tc>
        <w:tc>
          <w:tcPr>
            <w:tcW w:w="576" w:type="dxa"/>
            <w:tcBorders>
              <w:tl2br w:val="nil"/>
              <w:tr2bl w:val="nil"/>
            </w:tcBorders>
            <w:shd w:val="clear" w:color="auto" w:fill="auto"/>
            <w:noWrap/>
            <w:tcMar>
              <w:top w:w="15" w:type="dxa"/>
              <w:left w:w="15" w:type="dxa"/>
              <w:right w:w="15" w:type="dxa"/>
            </w:tcMar>
            <w:vAlign w:val="center"/>
          </w:tcPr>
          <w:p w14:paraId="49108257">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100</w:t>
            </w:r>
          </w:p>
        </w:tc>
        <w:tc>
          <w:tcPr>
            <w:tcW w:w="630" w:type="dxa"/>
            <w:tcBorders>
              <w:tl2br w:val="nil"/>
              <w:tr2bl w:val="nil"/>
            </w:tcBorders>
            <w:shd w:val="clear" w:color="auto" w:fill="auto"/>
            <w:noWrap/>
            <w:tcMar>
              <w:top w:w="15" w:type="dxa"/>
              <w:left w:w="15" w:type="dxa"/>
              <w:right w:w="15" w:type="dxa"/>
            </w:tcMar>
            <w:vAlign w:val="center"/>
          </w:tcPr>
          <w:p w14:paraId="1DF6B112">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包</w:t>
            </w:r>
          </w:p>
        </w:tc>
        <w:tc>
          <w:tcPr>
            <w:tcW w:w="630" w:type="dxa"/>
            <w:tcBorders>
              <w:tl2br w:val="nil"/>
              <w:tr2bl w:val="nil"/>
            </w:tcBorders>
            <w:shd w:val="clear" w:color="auto" w:fill="auto"/>
            <w:noWrap/>
            <w:tcMar>
              <w:top w:w="15" w:type="dxa"/>
              <w:left w:w="15" w:type="dxa"/>
              <w:right w:w="15" w:type="dxa"/>
            </w:tcMar>
            <w:vAlign w:val="center"/>
          </w:tcPr>
          <w:p w14:paraId="1E18267B">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22DEF6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24BDC79C">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15</w:t>
            </w:r>
          </w:p>
        </w:tc>
        <w:tc>
          <w:tcPr>
            <w:tcW w:w="1130" w:type="dxa"/>
            <w:tcBorders>
              <w:tl2br w:val="nil"/>
              <w:tr2bl w:val="nil"/>
            </w:tcBorders>
            <w:shd w:val="clear" w:color="auto" w:fill="auto"/>
            <w:noWrap/>
            <w:tcMar>
              <w:top w:w="15" w:type="dxa"/>
              <w:left w:w="15" w:type="dxa"/>
              <w:right w:w="15" w:type="dxa"/>
            </w:tcMar>
            <w:vAlign w:val="center"/>
          </w:tcPr>
          <w:p w14:paraId="0B7EB75E">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羽片</w:t>
            </w:r>
          </w:p>
        </w:tc>
        <w:tc>
          <w:tcPr>
            <w:tcW w:w="5541" w:type="dxa"/>
            <w:tcBorders>
              <w:tl2br w:val="nil"/>
              <w:tr2bl w:val="nil"/>
            </w:tcBorders>
            <w:shd w:val="clear" w:color="auto" w:fill="auto"/>
            <w:tcMar>
              <w:top w:w="15" w:type="dxa"/>
              <w:left w:w="15" w:type="dxa"/>
              <w:right w:w="15" w:type="dxa"/>
            </w:tcMar>
            <w:vAlign w:val="center"/>
          </w:tcPr>
          <w:p w14:paraId="7669C02C">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胶羽，长度：1.87英寸（4.75厘米），高度：0.312英寸（0.79厘米），单片重量：3.08-3.1格令​</w:t>
            </w:r>
            <w:r>
              <w:rPr>
                <w:rStyle w:val="311"/>
                <w:rFonts w:hint="default" w:ascii="Times New Roman" w:hAnsi="Times New Roman" w:cs="Times New Roman"/>
                <w:i/>
                <w:iCs/>
                <w:u w:val="single"/>
                <w:lang w:val="en-US" w:eastAsia="zh-CN" w:bidi="ar"/>
              </w:rPr>
              <w:t>（约0.2克），高弹性合成材料，透靶后可恢复原状。飞行轨迹设计平坦 ，减少风偏影响。</w:t>
            </w:r>
          </w:p>
        </w:tc>
        <w:tc>
          <w:tcPr>
            <w:tcW w:w="576" w:type="dxa"/>
            <w:tcBorders>
              <w:tl2br w:val="nil"/>
              <w:tr2bl w:val="nil"/>
            </w:tcBorders>
            <w:shd w:val="clear" w:color="auto" w:fill="auto"/>
            <w:noWrap/>
            <w:tcMar>
              <w:top w:w="15" w:type="dxa"/>
              <w:left w:w="15" w:type="dxa"/>
              <w:right w:w="15" w:type="dxa"/>
            </w:tcMar>
            <w:vAlign w:val="center"/>
          </w:tcPr>
          <w:p w14:paraId="0165BA3D">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100</w:t>
            </w:r>
          </w:p>
        </w:tc>
        <w:tc>
          <w:tcPr>
            <w:tcW w:w="630" w:type="dxa"/>
            <w:tcBorders>
              <w:tl2br w:val="nil"/>
              <w:tr2bl w:val="nil"/>
            </w:tcBorders>
            <w:shd w:val="clear" w:color="auto" w:fill="auto"/>
            <w:noWrap/>
            <w:tcMar>
              <w:top w:w="15" w:type="dxa"/>
              <w:left w:w="15" w:type="dxa"/>
              <w:right w:w="15" w:type="dxa"/>
            </w:tcMar>
            <w:vAlign w:val="center"/>
          </w:tcPr>
          <w:p w14:paraId="26AD309E">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包</w:t>
            </w:r>
          </w:p>
        </w:tc>
        <w:tc>
          <w:tcPr>
            <w:tcW w:w="630" w:type="dxa"/>
            <w:tcBorders>
              <w:tl2br w:val="nil"/>
              <w:tr2bl w:val="nil"/>
            </w:tcBorders>
            <w:shd w:val="clear" w:color="auto" w:fill="auto"/>
            <w:noWrap/>
            <w:tcMar>
              <w:top w:w="15" w:type="dxa"/>
              <w:left w:w="15" w:type="dxa"/>
              <w:right w:w="15" w:type="dxa"/>
            </w:tcMar>
            <w:vAlign w:val="center"/>
          </w:tcPr>
          <w:p w14:paraId="4287FB67">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729C60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74" w:hRule="atLeast"/>
        </w:trPr>
        <w:tc>
          <w:tcPr>
            <w:tcW w:w="470" w:type="dxa"/>
            <w:tcBorders>
              <w:tl2br w:val="nil"/>
              <w:tr2bl w:val="nil"/>
            </w:tcBorders>
            <w:shd w:val="clear" w:color="auto" w:fill="auto"/>
            <w:noWrap/>
            <w:tcMar>
              <w:top w:w="15" w:type="dxa"/>
              <w:left w:w="15" w:type="dxa"/>
              <w:right w:w="15" w:type="dxa"/>
            </w:tcMar>
            <w:vAlign w:val="center"/>
          </w:tcPr>
          <w:p w14:paraId="794908C2">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16</w:t>
            </w:r>
          </w:p>
        </w:tc>
        <w:tc>
          <w:tcPr>
            <w:tcW w:w="1130" w:type="dxa"/>
            <w:tcBorders>
              <w:tl2br w:val="nil"/>
              <w:tr2bl w:val="nil"/>
            </w:tcBorders>
            <w:shd w:val="clear" w:color="auto" w:fill="auto"/>
            <w:noWrap/>
            <w:tcMar>
              <w:top w:w="15" w:type="dxa"/>
              <w:left w:w="15" w:type="dxa"/>
              <w:right w:w="15" w:type="dxa"/>
            </w:tcMar>
            <w:vAlign w:val="center"/>
          </w:tcPr>
          <w:p w14:paraId="05FB4B82">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弓弦</w:t>
            </w:r>
          </w:p>
        </w:tc>
        <w:tc>
          <w:tcPr>
            <w:tcW w:w="5541" w:type="dxa"/>
            <w:tcBorders>
              <w:tl2br w:val="nil"/>
              <w:tr2bl w:val="nil"/>
            </w:tcBorders>
            <w:shd w:val="clear" w:color="auto" w:fill="auto"/>
            <w:tcMar>
              <w:top w:w="15" w:type="dxa"/>
              <w:left w:w="15" w:type="dxa"/>
              <w:right w:w="15" w:type="dxa"/>
            </w:tcMar>
            <w:vAlign w:val="center"/>
          </w:tcPr>
          <w:p w14:paraId="6BDC576D">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材料组成</w:t>
            </w:r>
            <w:r>
              <w:rPr>
                <w:rStyle w:val="311"/>
                <w:rFonts w:hint="default" w:ascii="Times New Roman" w:hAnsi="Times New Roman" w:cs="Times New Roman"/>
                <w:i/>
                <w:iCs/>
                <w:u w:val="single"/>
                <w:lang w:val="en-US" w:eastAsia="zh-CN" w:bidi="ar"/>
              </w:rPr>
              <w:t>：80% SK99 Dyneema纤维 + 20% Vectran纤维。线轴尺寸：1/4磅。</w:t>
            </w:r>
          </w:p>
        </w:tc>
        <w:tc>
          <w:tcPr>
            <w:tcW w:w="576" w:type="dxa"/>
            <w:tcBorders>
              <w:tl2br w:val="nil"/>
              <w:tr2bl w:val="nil"/>
            </w:tcBorders>
            <w:shd w:val="clear" w:color="auto" w:fill="auto"/>
            <w:noWrap/>
            <w:tcMar>
              <w:top w:w="15" w:type="dxa"/>
              <w:left w:w="15" w:type="dxa"/>
              <w:right w:w="15" w:type="dxa"/>
            </w:tcMar>
            <w:vAlign w:val="center"/>
          </w:tcPr>
          <w:p w14:paraId="37DB8609">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6</w:t>
            </w:r>
          </w:p>
        </w:tc>
        <w:tc>
          <w:tcPr>
            <w:tcW w:w="630" w:type="dxa"/>
            <w:tcBorders>
              <w:tl2br w:val="nil"/>
              <w:tr2bl w:val="nil"/>
            </w:tcBorders>
            <w:shd w:val="clear" w:color="auto" w:fill="auto"/>
            <w:noWrap/>
            <w:tcMar>
              <w:top w:w="15" w:type="dxa"/>
              <w:left w:w="15" w:type="dxa"/>
              <w:right w:w="15" w:type="dxa"/>
            </w:tcMar>
            <w:vAlign w:val="center"/>
          </w:tcPr>
          <w:p w14:paraId="346F96E2">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轴</w:t>
            </w:r>
          </w:p>
        </w:tc>
        <w:tc>
          <w:tcPr>
            <w:tcW w:w="630" w:type="dxa"/>
            <w:tcBorders>
              <w:tl2br w:val="nil"/>
              <w:tr2bl w:val="nil"/>
            </w:tcBorders>
            <w:shd w:val="clear" w:color="auto" w:fill="auto"/>
            <w:noWrap/>
            <w:tcMar>
              <w:top w:w="15" w:type="dxa"/>
              <w:left w:w="15" w:type="dxa"/>
              <w:right w:w="15" w:type="dxa"/>
            </w:tcMar>
            <w:vAlign w:val="center"/>
          </w:tcPr>
          <w:p w14:paraId="2A0374D7">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213759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5" w:hRule="atLeast"/>
        </w:trPr>
        <w:tc>
          <w:tcPr>
            <w:tcW w:w="470" w:type="dxa"/>
            <w:tcBorders>
              <w:tl2br w:val="nil"/>
              <w:tr2bl w:val="nil"/>
            </w:tcBorders>
            <w:shd w:val="clear" w:color="auto" w:fill="auto"/>
            <w:noWrap/>
            <w:tcMar>
              <w:top w:w="15" w:type="dxa"/>
              <w:left w:w="15" w:type="dxa"/>
              <w:right w:w="15" w:type="dxa"/>
            </w:tcMar>
            <w:vAlign w:val="center"/>
          </w:tcPr>
          <w:p w14:paraId="756CB31C">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17</w:t>
            </w:r>
          </w:p>
        </w:tc>
        <w:tc>
          <w:tcPr>
            <w:tcW w:w="1130" w:type="dxa"/>
            <w:tcBorders>
              <w:tl2br w:val="nil"/>
              <w:tr2bl w:val="nil"/>
            </w:tcBorders>
            <w:shd w:val="clear" w:color="auto" w:fill="auto"/>
            <w:noWrap/>
            <w:tcMar>
              <w:top w:w="15" w:type="dxa"/>
              <w:left w:w="15" w:type="dxa"/>
              <w:right w:w="15" w:type="dxa"/>
            </w:tcMar>
            <w:vAlign w:val="center"/>
          </w:tcPr>
          <w:p w14:paraId="0BBED370">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弓弦</w:t>
            </w:r>
          </w:p>
        </w:tc>
        <w:tc>
          <w:tcPr>
            <w:tcW w:w="5541" w:type="dxa"/>
            <w:tcBorders>
              <w:tl2br w:val="nil"/>
              <w:tr2bl w:val="nil"/>
            </w:tcBorders>
            <w:shd w:val="clear" w:color="auto" w:fill="auto"/>
            <w:tcMar>
              <w:top w:w="15" w:type="dxa"/>
              <w:left w:w="15" w:type="dxa"/>
              <w:right w:w="15" w:type="dxa"/>
            </w:tcMar>
            <w:vAlign w:val="center"/>
          </w:tcPr>
          <w:p w14:paraId="6D11BBEC">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材质：含67%SK75Dyneema纤维+ 33% Vectran纤维，高耐磨且噪音低。线轴尺寸：1/4磅。</w:t>
            </w:r>
          </w:p>
        </w:tc>
        <w:tc>
          <w:tcPr>
            <w:tcW w:w="576" w:type="dxa"/>
            <w:tcBorders>
              <w:tl2br w:val="nil"/>
              <w:tr2bl w:val="nil"/>
            </w:tcBorders>
            <w:shd w:val="clear" w:color="auto" w:fill="auto"/>
            <w:noWrap/>
            <w:tcMar>
              <w:top w:w="15" w:type="dxa"/>
              <w:left w:w="15" w:type="dxa"/>
              <w:right w:w="15" w:type="dxa"/>
            </w:tcMar>
            <w:vAlign w:val="center"/>
          </w:tcPr>
          <w:p w14:paraId="264A338C">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6</w:t>
            </w:r>
          </w:p>
        </w:tc>
        <w:tc>
          <w:tcPr>
            <w:tcW w:w="630" w:type="dxa"/>
            <w:tcBorders>
              <w:tl2br w:val="nil"/>
              <w:tr2bl w:val="nil"/>
            </w:tcBorders>
            <w:shd w:val="clear" w:color="auto" w:fill="auto"/>
            <w:noWrap/>
            <w:tcMar>
              <w:top w:w="15" w:type="dxa"/>
              <w:left w:w="15" w:type="dxa"/>
              <w:right w:w="15" w:type="dxa"/>
            </w:tcMar>
            <w:vAlign w:val="center"/>
          </w:tcPr>
          <w:p w14:paraId="732AA9BE">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轴</w:t>
            </w:r>
          </w:p>
        </w:tc>
        <w:tc>
          <w:tcPr>
            <w:tcW w:w="630" w:type="dxa"/>
            <w:tcBorders>
              <w:tl2br w:val="nil"/>
              <w:tr2bl w:val="nil"/>
            </w:tcBorders>
            <w:shd w:val="clear" w:color="auto" w:fill="auto"/>
            <w:noWrap/>
            <w:tcMar>
              <w:top w:w="15" w:type="dxa"/>
              <w:left w:w="15" w:type="dxa"/>
              <w:right w:w="15" w:type="dxa"/>
            </w:tcMar>
            <w:vAlign w:val="center"/>
          </w:tcPr>
          <w:p w14:paraId="238617E3">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660EFD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740" w:hRule="atLeast"/>
        </w:trPr>
        <w:tc>
          <w:tcPr>
            <w:tcW w:w="470" w:type="dxa"/>
            <w:tcBorders>
              <w:tl2br w:val="nil"/>
              <w:tr2bl w:val="nil"/>
            </w:tcBorders>
            <w:shd w:val="clear" w:color="auto" w:fill="auto"/>
            <w:noWrap/>
            <w:tcMar>
              <w:top w:w="15" w:type="dxa"/>
              <w:left w:w="15" w:type="dxa"/>
              <w:right w:w="15" w:type="dxa"/>
            </w:tcMar>
            <w:vAlign w:val="center"/>
          </w:tcPr>
          <w:p w14:paraId="7586D1AB">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18</w:t>
            </w:r>
          </w:p>
        </w:tc>
        <w:tc>
          <w:tcPr>
            <w:tcW w:w="1130" w:type="dxa"/>
            <w:tcBorders>
              <w:tl2br w:val="nil"/>
              <w:tr2bl w:val="nil"/>
            </w:tcBorders>
            <w:shd w:val="clear" w:color="auto" w:fill="auto"/>
            <w:noWrap/>
            <w:tcMar>
              <w:top w:w="15" w:type="dxa"/>
              <w:left w:w="15" w:type="dxa"/>
              <w:right w:w="15" w:type="dxa"/>
            </w:tcMar>
            <w:vAlign w:val="center"/>
          </w:tcPr>
          <w:p w14:paraId="55167570">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护弦线</w:t>
            </w:r>
          </w:p>
        </w:tc>
        <w:tc>
          <w:tcPr>
            <w:tcW w:w="5541" w:type="dxa"/>
            <w:tcBorders>
              <w:tl2br w:val="nil"/>
              <w:tr2bl w:val="nil"/>
            </w:tcBorders>
            <w:shd w:val="clear" w:color="auto" w:fill="auto"/>
            <w:tcMar>
              <w:top w:w="15" w:type="dxa"/>
              <w:left w:w="15" w:type="dxa"/>
              <w:right w:w="15" w:type="dxa"/>
            </w:tcMar>
            <w:vAlign w:val="center"/>
          </w:tcPr>
          <w:p w14:paraId="7E2E830C">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材质：光谱纤维和尼龙纱线混合，树脂涂层。颜色：黑色。直径长度：0.018”~0.025“。</w:t>
            </w:r>
          </w:p>
        </w:tc>
        <w:tc>
          <w:tcPr>
            <w:tcW w:w="576" w:type="dxa"/>
            <w:tcBorders>
              <w:tl2br w:val="nil"/>
              <w:tr2bl w:val="nil"/>
            </w:tcBorders>
            <w:shd w:val="clear" w:color="auto" w:fill="auto"/>
            <w:noWrap/>
            <w:tcMar>
              <w:top w:w="15" w:type="dxa"/>
              <w:left w:w="15" w:type="dxa"/>
              <w:right w:w="15" w:type="dxa"/>
            </w:tcMar>
            <w:vAlign w:val="center"/>
          </w:tcPr>
          <w:p w14:paraId="5B3A76AA">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15</w:t>
            </w:r>
          </w:p>
        </w:tc>
        <w:tc>
          <w:tcPr>
            <w:tcW w:w="630" w:type="dxa"/>
            <w:tcBorders>
              <w:tl2br w:val="nil"/>
              <w:tr2bl w:val="nil"/>
            </w:tcBorders>
            <w:shd w:val="clear" w:color="auto" w:fill="auto"/>
            <w:noWrap/>
            <w:tcMar>
              <w:top w:w="15" w:type="dxa"/>
              <w:left w:w="15" w:type="dxa"/>
              <w:right w:w="15" w:type="dxa"/>
            </w:tcMar>
            <w:vAlign w:val="center"/>
          </w:tcPr>
          <w:p w14:paraId="75B76F19">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轴</w:t>
            </w:r>
          </w:p>
        </w:tc>
        <w:tc>
          <w:tcPr>
            <w:tcW w:w="630" w:type="dxa"/>
            <w:tcBorders>
              <w:tl2br w:val="nil"/>
              <w:tr2bl w:val="nil"/>
            </w:tcBorders>
            <w:shd w:val="clear" w:color="auto" w:fill="auto"/>
            <w:noWrap/>
            <w:tcMar>
              <w:top w:w="15" w:type="dxa"/>
              <w:left w:w="15" w:type="dxa"/>
              <w:right w:w="15" w:type="dxa"/>
            </w:tcMar>
            <w:vAlign w:val="center"/>
          </w:tcPr>
          <w:p w14:paraId="4C5F9288">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70C382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870" w:hRule="atLeast"/>
        </w:trPr>
        <w:tc>
          <w:tcPr>
            <w:tcW w:w="470" w:type="dxa"/>
            <w:tcBorders>
              <w:tl2br w:val="nil"/>
              <w:tr2bl w:val="nil"/>
            </w:tcBorders>
            <w:shd w:val="clear" w:color="auto" w:fill="auto"/>
            <w:noWrap/>
            <w:tcMar>
              <w:top w:w="15" w:type="dxa"/>
              <w:left w:w="15" w:type="dxa"/>
              <w:right w:w="15" w:type="dxa"/>
            </w:tcMar>
            <w:vAlign w:val="center"/>
          </w:tcPr>
          <w:p w14:paraId="430B4C08">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19</w:t>
            </w:r>
          </w:p>
        </w:tc>
        <w:tc>
          <w:tcPr>
            <w:tcW w:w="1130" w:type="dxa"/>
            <w:tcBorders>
              <w:tl2br w:val="nil"/>
              <w:tr2bl w:val="nil"/>
            </w:tcBorders>
            <w:shd w:val="clear" w:color="auto" w:fill="auto"/>
            <w:noWrap/>
            <w:tcMar>
              <w:top w:w="15" w:type="dxa"/>
              <w:left w:w="15" w:type="dxa"/>
              <w:right w:w="15" w:type="dxa"/>
            </w:tcMar>
            <w:vAlign w:val="center"/>
          </w:tcPr>
          <w:p w14:paraId="606DD1C2">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弦梢</w:t>
            </w:r>
          </w:p>
          <w:p w14:paraId="144727F8">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底线</w:t>
            </w:r>
          </w:p>
        </w:tc>
        <w:tc>
          <w:tcPr>
            <w:tcW w:w="5541" w:type="dxa"/>
            <w:tcBorders>
              <w:tl2br w:val="nil"/>
              <w:tr2bl w:val="nil"/>
            </w:tcBorders>
            <w:shd w:val="clear" w:color="auto" w:fill="auto"/>
            <w:tcMar>
              <w:top w:w="15" w:type="dxa"/>
              <w:left w:w="15" w:type="dxa"/>
              <w:right w:w="15" w:type="dxa"/>
            </w:tcMar>
            <w:vAlign w:val="center"/>
          </w:tcPr>
          <w:p w14:paraId="7622551E">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材质：100%编织的光谱（或UHMPE)适合弦梢或中心底线。颜色：黑色。直径长度：0.017”~0.024“。</w:t>
            </w:r>
          </w:p>
        </w:tc>
        <w:tc>
          <w:tcPr>
            <w:tcW w:w="576" w:type="dxa"/>
            <w:tcBorders>
              <w:tl2br w:val="nil"/>
              <w:tr2bl w:val="nil"/>
            </w:tcBorders>
            <w:shd w:val="clear" w:color="auto" w:fill="auto"/>
            <w:noWrap/>
            <w:tcMar>
              <w:top w:w="15" w:type="dxa"/>
              <w:left w:w="15" w:type="dxa"/>
              <w:right w:w="15" w:type="dxa"/>
            </w:tcMar>
            <w:vAlign w:val="center"/>
          </w:tcPr>
          <w:p w14:paraId="385BB55A">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15</w:t>
            </w:r>
          </w:p>
        </w:tc>
        <w:tc>
          <w:tcPr>
            <w:tcW w:w="630" w:type="dxa"/>
            <w:tcBorders>
              <w:tl2br w:val="nil"/>
              <w:tr2bl w:val="nil"/>
            </w:tcBorders>
            <w:shd w:val="clear" w:color="auto" w:fill="auto"/>
            <w:noWrap/>
            <w:tcMar>
              <w:top w:w="15" w:type="dxa"/>
              <w:left w:w="15" w:type="dxa"/>
              <w:right w:w="15" w:type="dxa"/>
            </w:tcMar>
            <w:vAlign w:val="center"/>
          </w:tcPr>
          <w:p w14:paraId="749FEF4D">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轴</w:t>
            </w:r>
          </w:p>
        </w:tc>
        <w:tc>
          <w:tcPr>
            <w:tcW w:w="630" w:type="dxa"/>
            <w:tcBorders>
              <w:tl2br w:val="nil"/>
              <w:tr2bl w:val="nil"/>
            </w:tcBorders>
            <w:shd w:val="clear" w:color="auto" w:fill="auto"/>
            <w:noWrap/>
            <w:tcMar>
              <w:top w:w="15" w:type="dxa"/>
              <w:left w:w="15" w:type="dxa"/>
              <w:right w:w="15" w:type="dxa"/>
            </w:tcMar>
            <w:vAlign w:val="center"/>
          </w:tcPr>
          <w:p w14:paraId="01CE8F33">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2B1F29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8" w:hRule="atLeast"/>
        </w:trPr>
        <w:tc>
          <w:tcPr>
            <w:tcW w:w="470" w:type="dxa"/>
            <w:tcBorders>
              <w:tl2br w:val="nil"/>
              <w:tr2bl w:val="nil"/>
            </w:tcBorders>
            <w:shd w:val="clear" w:color="auto" w:fill="auto"/>
            <w:noWrap/>
            <w:tcMar>
              <w:top w:w="15" w:type="dxa"/>
              <w:left w:w="15" w:type="dxa"/>
              <w:right w:w="15" w:type="dxa"/>
            </w:tcMar>
            <w:vAlign w:val="center"/>
          </w:tcPr>
          <w:p w14:paraId="070E126D">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20</w:t>
            </w:r>
          </w:p>
        </w:tc>
        <w:tc>
          <w:tcPr>
            <w:tcW w:w="1130" w:type="dxa"/>
            <w:tcBorders>
              <w:tl2br w:val="nil"/>
              <w:tr2bl w:val="nil"/>
            </w:tcBorders>
            <w:shd w:val="clear" w:color="auto" w:fill="auto"/>
            <w:noWrap/>
            <w:tcMar>
              <w:top w:w="15" w:type="dxa"/>
              <w:left w:w="15" w:type="dxa"/>
              <w:right w:w="15" w:type="dxa"/>
            </w:tcMar>
            <w:vAlign w:val="center"/>
          </w:tcPr>
          <w:p w14:paraId="122A717D">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绕弦器</w:t>
            </w:r>
          </w:p>
        </w:tc>
        <w:tc>
          <w:tcPr>
            <w:tcW w:w="5541" w:type="dxa"/>
            <w:tcBorders>
              <w:tl2br w:val="nil"/>
              <w:tr2bl w:val="nil"/>
            </w:tcBorders>
            <w:shd w:val="clear" w:color="auto" w:fill="auto"/>
            <w:tcMar>
              <w:top w:w="15" w:type="dxa"/>
              <w:left w:w="15" w:type="dxa"/>
              <w:right w:w="15" w:type="dxa"/>
            </w:tcMar>
            <w:vAlign w:val="center"/>
          </w:tcPr>
          <w:p w14:paraId="2C7B20C3">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弓弦制作或维护，比赛或专业训练使用。</w:t>
            </w:r>
          </w:p>
        </w:tc>
        <w:tc>
          <w:tcPr>
            <w:tcW w:w="576" w:type="dxa"/>
            <w:tcBorders>
              <w:tl2br w:val="nil"/>
              <w:tr2bl w:val="nil"/>
            </w:tcBorders>
            <w:shd w:val="clear" w:color="auto" w:fill="auto"/>
            <w:noWrap/>
            <w:tcMar>
              <w:top w:w="15" w:type="dxa"/>
              <w:left w:w="15" w:type="dxa"/>
              <w:right w:w="15" w:type="dxa"/>
            </w:tcMar>
            <w:vAlign w:val="center"/>
          </w:tcPr>
          <w:p w14:paraId="41A25393">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6</w:t>
            </w:r>
          </w:p>
        </w:tc>
        <w:tc>
          <w:tcPr>
            <w:tcW w:w="630" w:type="dxa"/>
            <w:tcBorders>
              <w:tl2br w:val="nil"/>
              <w:tr2bl w:val="nil"/>
            </w:tcBorders>
            <w:shd w:val="clear" w:color="auto" w:fill="auto"/>
            <w:noWrap/>
            <w:tcMar>
              <w:top w:w="15" w:type="dxa"/>
              <w:left w:w="15" w:type="dxa"/>
              <w:right w:w="15" w:type="dxa"/>
            </w:tcMar>
            <w:vAlign w:val="center"/>
          </w:tcPr>
          <w:p w14:paraId="2CC67D0F">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7536BF37">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3DC891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9" w:hRule="atLeast"/>
        </w:trPr>
        <w:tc>
          <w:tcPr>
            <w:tcW w:w="470" w:type="dxa"/>
            <w:tcBorders>
              <w:tl2br w:val="nil"/>
              <w:tr2bl w:val="nil"/>
            </w:tcBorders>
            <w:shd w:val="clear" w:color="auto" w:fill="auto"/>
            <w:noWrap/>
            <w:tcMar>
              <w:top w:w="15" w:type="dxa"/>
              <w:left w:w="15" w:type="dxa"/>
              <w:right w:w="15" w:type="dxa"/>
            </w:tcMar>
            <w:vAlign w:val="center"/>
          </w:tcPr>
          <w:p w14:paraId="4097095D">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21</w:t>
            </w:r>
          </w:p>
        </w:tc>
        <w:tc>
          <w:tcPr>
            <w:tcW w:w="1130" w:type="dxa"/>
            <w:tcBorders>
              <w:tl2br w:val="nil"/>
              <w:tr2bl w:val="nil"/>
            </w:tcBorders>
            <w:shd w:val="clear" w:color="auto" w:fill="auto"/>
            <w:noWrap/>
            <w:tcMar>
              <w:top w:w="15" w:type="dxa"/>
              <w:left w:w="15" w:type="dxa"/>
              <w:right w:w="15" w:type="dxa"/>
            </w:tcMar>
            <w:vAlign w:val="center"/>
          </w:tcPr>
          <w:p w14:paraId="098EFD31">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D环绳</w:t>
            </w:r>
          </w:p>
        </w:tc>
        <w:tc>
          <w:tcPr>
            <w:tcW w:w="5541" w:type="dxa"/>
            <w:tcBorders>
              <w:tl2br w:val="nil"/>
              <w:tr2bl w:val="nil"/>
            </w:tcBorders>
            <w:shd w:val="clear" w:color="auto" w:fill="auto"/>
            <w:tcMar>
              <w:top w:w="15" w:type="dxa"/>
              <w:left w:w="15" w:type="dxa"/>
              <w:right w:w="15" w:type="dxa"/>
            </w:tcMar>
            <w:vAlign w:val="center"/>
          </w:tcPr>
          <w:p w14:paraId="203DB140">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高强度合成纤维，耐磨、抗拉、耐腐蚀。编织紧密均匀，表面光滑，绳结处精细，能承受较大拉力且不易松动。</w:t>
            </w:r>
          </w:p>
        </w:tc>
        <w:tc>
          <w:tcPr>
            <w:tcW w:w="576" w:type="dxa"/>
            <w:tcBorders>
              <w:tl2br w:val="nil"/>
              <w:tr2bl w:val="nil"/>
            </w:tcBorders>
            <w:shd w:val="clear" w:color="auto" w:fill="auto"/>
            <w:noWrap/>
            <w:tcMar>
              <w:top w:w="15" w:type="dxa"/>
              <w:left w:w="15" w:type="dxa"/>
              <w:right w:w="15" w:type="dxa"/>
            </w:tcMar>
            <w:vAlign w:val="center"/>
          </w:tcPr>
          <w:p w14:paraId="05E7ADC1">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2</w:t>
            </w:r>
          </w:p>
        </w:tc>
        <w:tc>
          <w:tcPr>
            <w:tcW w:w="630" w:type="dxa"/>
            <w:tcBorders>
              <w:tl2br w:val="nil"/>
              <w:tr2bl w:val="nil"/>
            </w:tcBorders>
            <w:shd w:val="clear" w:color="auto" w:fill="auto"/>
            <w:noWrap/>
            <w:tcMar>
              <w:top w:w="15" w:type="dxa"/>
              <w:left w:w="15" w:type="dxa"/>
              <w:right w:w="15" w:type="dxa"/>
            </w:tcMar>
            <w:vAlign w:val="center"/>
          </w:tcPr>
          <w:p w14:paraId="6A8BDC0C">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轴</w:t>
            </w:r>
          </w:p>
        </w:tc>
        <w:tc>
          <w:tcPr>
            <w:tcW w:w="630" w:type="dxa"/>
            <w:tcBorders>
              <w:tl2br w:val="nil"/>
              <w:tr2bl w:val="nil"/>
            </w:tcBorders>
            <w:shd w:val="clear" w:color="auto" w:fill="auto"/>
            <w:noWrap/>
            <w:tcMar>
              <w:top w:w="15" w:type="dxa"/>
              <w:left w:w="15" w:type="dxa"/>
              <w:right w:w="15" w:type="dxa"/>
            </w:tcMar>
            <w:vAlign w:val="center"/>
          </w:tcPr>
          <w:p w14:paraId="75D0DCAC">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213E6F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526A1BD3">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22</w:t>
            </w:r>
          </w:p>
        </w:tc>
        <w:tc>
          <w:tcPr>
            <w:tcW w:w="1130" w:type="dxa"/>
            <w:tcBorders>
              <w:tl2br w:val="nil"/>
              <w:tr2bl w:val="nil"/>
            </w:tcBorders>
            <w:shd w:val="clear" w:color="auto" w:fill="auto"/>
            <w:noWrap/>
            <w:tcMar>
              <w:top w:w="15" w:type="dxa"/>
              <w:left w:w="15" w:type="dxa"/>
              <w:right w:w="15" w:type="dxa"/>
            </w:tcMar>
            <w:vAlign w:val="center"/>
          </w:tcPr>
          <w:p w14:paraId="05B49822">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水平泡</w:t>
            </w:r>
          </w:p>
        </w:tc>
        <w:tc>
          <w:tcPr>
            <w:tcW w:w="5541" w:type="dxa"/>
            <w:tcBorders>
              <w:tl2br w:val="nil"/>
              <w:tr2bl w:val="nil"/>
            </w:tcBorders>
            <w:shd w:val="clear" w:color="auto" w:fill="auto"/>
            <w:tcMar>
              <w:top w:w="15" w:type="dxa"/>
              <w:left w:w="15" w:type="dxa"/>
              <w:right w:w="15" w:type="dxa"/>
            </w:tcMar>
            <w:vAlign w:val="center"/>
          </w:tcPr>
          <w:p w14:paraId="5D910E1F">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用于确保复合弓在瞄准时保持垂直和水平状态，避免因弓身倾斜导致箭的落点偏差。三轴调节：弓身水平、瞄架主体水平和瞄头水平三个维度的校准。</w:t>
            </w:r>
          </w:p>
        </w:tc>
        <w:tc>
          <w:tcPr>
            <w:tcW w:w="576" w:type="dxa"/>
            <w:tcBorders>
              <w:tl2br w:val="nil"/>
              <w:tr2bl w:val="nil"/>
            </w:tcBorders>
            <w:shd w:val="clear" w:color="auto" w:fill="auto"/>
            <w:noWrap/>
            <w:tcMar>
              <w:top w:w="15" w:type="dxa"/>
              <w:left w:w="15" w:type="dxa"/>
              <w:right w:w="15" w:type="dxa"/>
            </w:tcMar>
            <w:vAlign w:val="center"/>
          </w:tcPr>
          <w:p w14:paraId="5A6E1052">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6</w:t>
            </w:r>
          </w:p>
        </w:tc>
        <w:tc>
          <w:tcPr>
            <w:tcW w:w="630" w:type="dxa"/>
            <w:tcBorders>
              <w:tl2br w:val="nil"/>
              <w:tr2bl w:val="nil"/>
            </w:tcBorders>
            <w:shd w:val="clear" w:color="auto" w:fill="auto"/>
            <w:noWrap/>
            <w:tcMar>
              <w:top w:w="15" w:type="dxa"/>
              <w:left w:w="15" w:type="dxa"/>
              <w:right w:w="15" w:type="dxa"/>
            </w:tcMar>
            <w:vAlign w:val="center"/>
          </w:tcPr>
          <w:p w14:paraId="78ABB434">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43D77893">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23D961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70" w:type="dxa"/>
            <w:tcBorders>
              <w:tl2br w:val="nil"/>
              <w:tr2bl w:val="nil"/>
            </w:tcBorders>
            <w:shd w:val="clear" w:color="auto" w:fill="auto"/>
            <w:noWrap/>
            <w:tcMar>
              <w:top w:w="15" w:type="dxa"/>
              <w:left w:w="15" w:type="dxa"/>
              <w:right w:w="15" w:type="dxa"/>
            </w:tcMar>
            <w:vAlign w:val="center"/>
          </w:tcPr>
          <w:p w14:paraId="1E475D77">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23</w:t>
            </w:r>
          </w:p>
        </w:tc>
        <w:tc>
          <w:tcPr>
            <w:tcW w:w="1130" w:type="dxa"/>
            <w:tcBorders>
              <w:tl2br w:val="nil"/>
              <w:tr2bl w:val="nil"/>
            </w:tcBorders>
            <w:shd w:val="clear" w:color="auto" w:fill="auto"/>
            <w:noWrap/>
            <w:tcMar>
              <w:top w:w="15" w:type="dxa"/>
              <w:left w:w="15" w:type="dxa"/>
              <w:right w:w="15" w:type="dxa"/>
            </w:tcMar>
            <w:vAlign w:val="center"/>
          </w:tcPr>
          <w:p w14:paraId="1D0A63D1">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粘羽器</w:t>
            </w:r>
          </w:p>
        </w:tc>
        <w:tc>
          <w:tcPr>
            <w:tcW w:w="5541" w:type="dxa"/>
            <w:tcBorders>
              <w:tl2br w:val="nil"/>
              <w:tr2bl w:val="nil"/>
            </w:tcBorders>
            <w:shd w:val="clear" w:color="auto" w:fill="auto"/>
            <w:tcMar>
              <w:top w:w="15" w:type="dxa"/>
              <w:left w:w="15" w:type="dxa"/>
              <w:right w:w="15" w:type="dxa"/>
            </w:tcMar>
            <w:vAlign w:val="center"/>
          </w:tcPr>
          <w:p w14:paraId="360FDA4E">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Style w:val="311"/>
                <w:rFonts w:hint="default" w:ascii="Times New Roman" w:hAnsi="Times New Roman" w:cs="Times New Roman"/>
                <w:i/>
                <w:iCs/>
                <w:u w:val="single"/>
                <w:lang w:val="en-US" w:eastAsia="zh-CN" w:bidi="ar"/>
              </w:rPr>
              <w:t>支持一次性同时粘贴三片箭羽，提升效率，并确保角度和间距的一致性。</w:t>
            </w:r>
          </w:p>
        </w:tc>
        <w:tc>
          <w:tcPr>
            <w:tcW w:w="576" w:type="dxa"/>
            <w:tcBorders>
              <w:tl2br w:val="nil"/>
              <w:tr2bl w:val="nil"/>
            </w:tcBorders>
            <w:shd w:val="clear" w:color="auto" w:fill="auto"/>
            <w:noWrap/>
            <w:tcMar>
              <w:top w:w="15" w:type="dxa"/>
              <w:left w:w="15" w:type="dxa"/>
              <w:right w:w="15" w:type="dxa"/>
            </w:tcMar>
            <w:vAlign w:val="center"/>
          </w:tcPr>
          <w:p w14:paraId="1B8FF8B0">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2</w:t>
            </w:r>
          </w:p>
        </w:tc>
        <w:tc>
          <w:tcPr>
            <w:tcW w:w="630" w:type="dxa"/>
            <w:tcBorders>
              <w:tl2br w:val="nil"/>
              <w:tr2bl w:val="nil"/>
            </w:tcBorders>
            <w:shd w:val="clear" w:color="auto" w:fill="auto"/>
            <w:noWrap/>
            <w:tcMar>
              <w:top w:w="15" w:type="dxa"/>
              <w:left w:w="15" w:type="dxa"/>
              <w:right w:w="15" w:type="dxa"/>
            </w:tcMar>
            <w:vAlign w:val="center"/>
          </w:tcPr>
          <w:p w14:paraId="00BDF36A">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4FBC9E3D">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6F5FDF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42" w:hRule="atLeast"/>
        </w:trPr>
        <w:tc>
          <w:tcPr>
            <w:tcW w:w="470" w:type="dxa"/>
            <w:tcBorders>
              <w:tl2br w:val="nil"/>
              <w:tr2bl w:val="nil"/>
            </w:tcBorders>
            <w:shd w:val="clear" w:color="auto" w:fill="auto"/>
            <w:noWrap/>
            <w:tcMar>
              <w:top w:w="15" w:type="dxa"/>
              <w:left w:w="15" w:type="dxa"/>
              <w:right w:w="15" w:type="dxa"/>
            </w:tcMar>
            <w:vAlign w:val="center"/>
          </w:tcPr>
          <w:p w14:paraId="545555AC">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24</w:t>
            </w:r>
          </w:p>
        </w:tc>
        <w:tc>
          <w:tcPr>
            <w:tcW w:w="1130" w:type="dxa"/>
            <w:tcBorders>
              <w:tl2br w:val="nil"/>
              <w:tr2bl w:val="nil"/>
            </w:tcBorders>
            <w:shd w:val="clear" w:color="auto" w:fill="auto"/>
            <w:noWrap/>
            <w:tcMar>
              <w:top w:w="15" w:type="dxa"/>
              <w:left w:w="15" w:type="dxa"/>
              <w:right w:w="15" w:type="dxa"/>
            </w:tcMar>
            <w:vAlign w:val="center"/>
          </w:tcPr>
          <w:p w14:paraId="073F085B">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粘羽器</w:t>
            </w:r>
          </w:p>
        </w:tc>
        <w:tc>
          <w:tcPr>
            <w:tcW w:w="5541" w:type="dxa"/>
            <w:tcBorders>
              <w:tl2br w:val="nil"/>
              <w:tr2bl w:val="nil"/>
            </w:tcBorders>
            <w:shd w:val="clear" w:color="auto" w:fill="auto"/>
            <w:tcMar>
              <w:top w:w="15" w:type="dxa"/>
              <w:left w:w="15" w:type="dxa"/>
              <w:right w:w="15" w:type="dxa"/>
            </w:tcMar>
            <w:vAlign w:val="center"/>
          </w:tcPr>
          <w:p w14:paraId="1241866A">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全金属材质，含右旋羽夹。用于</w:t>
            </w:r>
            <w:r>
              <w:rPr>
                <w:rStyle w:val="311"/>
                <w:rFonts w:hint="default" w:ascii="Times New Roman" w:hAnsi="Times New Roman" w:cs="Times New Roman"/>
                <w:i/>
                <w:iCs/>
                <w:u w:val="single"/>
                <w:lang w:val="en-US" w:eastAsia="zh-CN" w:bidi="ar"/>
              </w:rPr>
              <w:t>自行更换或修复箭羽，确保箭支飞行稳定性。</w:t>
            </w:r>
          </w:p>
        </w:tc>
        <w:tc>
          <w:tcPr>
            <w:tcW w:w="576" w:type="dxa"/>
            <w:tcBorders>
              <w:tl2br w:val="nil"/>
              <w:tr2bl w:val="nil"/>
            </w:tcBorders>
            <w:shd w:val="clear" w:color="auto" w:fill="auto"/>
            <w:noWrap/>
            <w:tcMar>
              <w:top w:w="15" w:type="dxa"/>
              <w:left w:w="15" w:type="dxa"/>
              <w:right w:w="15" w:type="dxa"/>
            </w:tcMar>
            <w:vAlign w:val="center"/>
          </w:tcPr>
          <w:p w14:paraId="737162C3">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2</w:t>
            </w:r>
          </w:p>
        </w:tc>
        <w:tc>
          <w:tcPr>
            <w:tcW w:w="630" w:type="dxa"/>
            <w:tcBorders>
              <w:tl2br w:val="nil"/>
              <w:tr2bl w:val="nil"/>
            </w:tcBorders>
            <w:shd w:val="clear" w:color="auto" w:fill="auto"/>
            <w:noWrap/>
            <w:tcMar>
              <w:top w:w="15" w:type="dxa"/>
              <w:left w:w="15" w:type="dxa"/>
              <w:right w:w="15" w:type="dxa"/>
            </w:tcMar>
            <w:vAlign w:val="center"/>
          </w:tcPr>
          <w:p w14:paraId="5D82F1B7">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70E0B872">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13EA52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9" w:hRule="atLeast"/>
        </w:trPr>
        <w:tc>
          <w:tcPr>
            <w:tcW w:w="470" w:type="dxa"/>
            <w:tcBorders>
              <w:tl2br w:val="nil"/>
              <w:tr2bl w:val="nil"/>
            </w:tcBorders>
            <w:shd w:val="clear" w:color="auto" w:fill="auto"/>
            <w:noWrap/>
            <w:tcMar>
              <w:top w:w="15" w:type="dxa"/>
              <w:left w:w="15" w:type="dxa"/>
              <w:right w:w="15" w:type="dxa"/>
            </w:tcMar>
            <w:vAlign w:val="center"/>
          </w:tcPr>
          <w:p w14:paraId="38B36C09">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25</w:t>
            </w:r>
          </w:p>
        </w:tc>
        <w:tc>
          <w:tcPr>
            <w:tcW w:w="1130" w:type="dxa"/>
            <w:tcBorders>
              <w:tl2br w:val="nil"/>
              <w:tr2bl w:val="nil"/>
            </w:tcBorders>
            <w:shd w:val="clear" w:color="auto" w:fill="auto"/>
            <w:noWrap/>
            <w:tcMar>
              <w:top w:w="15" w:type="dxa"/>
              <w:left w:w="15" w:type="dxa"/>
              <w:right w:w="15" w:type="dxa"/>
            </w:tcMar>
            <w:vAlign w:val="center"/>
          </w:tcPr>
          <w:p w14:paraId="0E75E9D8">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扳手</w:t>
            </w:r>
          </w:p>
          <w:p w14:paraId="49DB3405">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工具</w:t>
            </w:r>
          </w:p>
        </w:tc>
        <w:tc>
          <w:tcPr>
            <w:tcW w:w="5541" w:type="dxa"/>
            <w:tcBorders>
              <w:tl2br w:val="nil"/>
              <w:tr2bl w:val="nil"/>
            </w:tcBorders>
            <w:shd w:val="clear" w:color="auto" w:fill="auto"/>
            <w:tcMar>
              <w:top w:w="15" w:type="dxa"/>
              <w:left w:w="15" w:type="dxa"/>
              <w:right w:w="15" w:type="dxa"/>
            </w:tcMar>
            <w:vAlign w:val="center"/>
          </w:tcPr>
          <w:p w14:paraId="13EE7C0A">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S2高级合金钢，硬度HRC60±2，球头支持25度倾斜操作。</w:t>
            </w:r>
          </w:p>
        </w:tc>
        <w:tc>
          <w:tcPr>
            <w:tcW w:w="576" w:type="dxa"/>
            <w:tcBorders>
              <w:tl2br w:val="nil"/>
              <w:tr2bl w:val="nil"/>
            </w:tcBorders>
            <w:shd w:val="clear" w:color="auto" w:fill="auto"/>
            <w:noWrap/>
            <w:tcMar>
              <w:top w:w="15" w:type="dxa"/>
              <w:left w:w="15" w:type="dxa"/>
              <w:right w:w="15" w:type="dxa"/>
            </w:tcMar>
            <w:vAlign w:val="center"/>
          </w:tcPr>
          <w:p w14:paraId="478F0CBD">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2</w:t>
            </w:r>
          </w:p>
        </w:tc>
        <w:tc>
          <w:tcPr>
            <w:tcW w:w="630" w:type="dxa"/>
            <w:tcBorders>
              <w:tl2br w:val="nil"/>
              <w:tr2bl w:val="nil"/>
            </w:tcBorders>
            <w:shd w:val="clear" w:color="auto" w:fill="auto"/>
            <w:noWrap/>
            <w:tcMar>
              <w:top w:w="15" w:type="dxa"/>
              <w:left w:w="15" w:type="dxa"/>
              <w:right w:w="15" w:type="dxa"/>
            </w:tcMar>
            <w:vAlign w:val="center"/>
          </w:tcPr>
          <w:p w14:paraId="381D4447">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套</w:t>
            </w:r>
          </w:p>
        </w:tc>
        <w:tc>
          <w:tcPr>
            <w:tcW w:w="630" w:type="dxa"/>
            <w:tcBorders>
              <w:tl2br w:val="nil"/>
              <w:tr2bl w:val="nil"/>
            </w:tcBorders>
            <w:shd w:val="clear" w:color="auto" w:fill="auto"/>
            <w:noWrap/>
            <w:tcMar>
              <w:top w:w="15" w:type="dxa"/>
              <w:left w:w="15" w:type="dxa"/>
              <w:right w:w="15" w:type="dxa"/>
            </w:tcMar>
            <w:vAlign w:val="center"/>
          </w:tcPr>
          <w:p w14:paraId="0F50E9E4">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r w14:paraId="6B3AF0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94" w:hRule="atLeast"/>
        </w:trPr>
        <w:tc>
          <w:tcPr>
            <w:tcW w:w="470" w:type="dxa"/>
            <w:tcBorders>
              <w:tl2br w:val="nil"/>
              <w:tr2bl w:val="nil"/>
            </w:tcBorders>
            <w:shd w:val="clear" w:color="auto" w:fill="auto"/>
            <w:noWrap/>
            <w:tcMar>
              <w:top w:w="15" w:type="dxa"/>
              <w:left w:w="15" w:type="dxa"/>
              <w:right w:w="15" w:type="dxa"/>
            </w:tcMar>
            <w:vAlign w:val="center"/>
          </w:tcPr>
          <w:p w14:paraId="48567BCD">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26</w:t>
            </w:r>
          </w:p>
        </w:tc>
        <w:tc>
          <w:tcPr>
            <w:tcW w:w="1130" w:type="dxa"/>
            <w:tcBorders>
              <w:tl2br w:val="nil"/>
              <w:tr2bl w:val="nil"/>
            </w:tcBorders>
            <w:shd w:val="clear" w:color="auto" w:fill="auto"/>
            <w:noWrap/>
            <w:tcMar>
              <w:top w:w="15" w:type="dxa"/>
              <w:left w:w="15" w:type="dxa"/>
              <w:right w:w="15" w:type="dxa"/>
            </w:tcMar>
            <w:vAlign w:val="center"/>
          </w:tcPr>
          <w:p w14:paraId="7D20CBEC">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复合弓弓架</w:t>
            </w:r>
          </w:p>
        </w:tc>
        <w:tc>
          <w:tcPr>
            <w:tcW w:w="5541" w:type="dxa"/>
            <w:tcBorders>
              <w:tl2br w:val="nil"/>
              <w:tr2bl w:val="nil"/>
            </w:tcBorders>
            <w:shd w:val="clear" w:color="auto" w:fill="auto"/>
            <w:tcMar>
              <w:top w:w="15" w:type="dxa"/>
              <w:left w:w="15" w:type="dxa"/>
              <w:right w:w="15" w:type="dxa"/>
            </w:tcMar>
            <w:vAlign w:val="center"/>
          </w:tcPr>
          <w:p w14:paraId="2FE9A3D2">
            <w:pPr>
              <w:keepNext w:val="0"/>
              <w:keepLines w:val="0"/>
              <w:widowControl/>
              <w:suppressLineNumbers w:val="0"/>
              <w:jc w:val="left"/>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高强度铝合金或工程塑料，可调节，精度高，表面精细，边角圆润光滑，无瑕疵。</w:t>
            </w:r>
          </w:p>
        </w:tc>
        <w:tc>
          <w:tcPr>
            <w:tcW w:w="576" w:type="dxa"/>
            <w:tcBorders>
              <w:tl2br w:val="nil"/>
              <w:tr2bl w:val="nil"/>
            </w:tcBorders>
            <w:shd w:val="clear" w:color="auto" w:fill="auto"/>
            <w:noWrap/>
            <w:tcMar>
              <w:top w:w="15" w:type="dxa"/>
              <w:left w:w="15" w:type="dxa"/>
              <w:right w:w="15" w:type="dxa"/>
            </w:tcMar>
            <w:vAlign w:val="center"/>
          </w:tcPr>
          <w:p w14:paraId="542C03F5">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20</w:t>
            </w:r>
          </w:p>
        </w:tc>
        <w:tc>
          <w:tcPr>
            <w:tcW w:w="630" w:type="dxa"/>
            <w:tcBorders>
              <w:tl2br w:val="nil"/>
              <w:tr2bl w:val="nil"/>
            </w:tcBorders>
            <w:shd w:val="clear" w:color="auto" w:fill="auto"/>
            <w:noWrap/>
            <w:tcMar>
              <w:top w:w="15" w:type="dxa"/>
              <w:left w:w="15" w:type="dxa"/>
              <w:right w:w="15" w:type="dxa"/>
            </w:tcMar>
            <w:vAlign w:val="center"/>
          </w:tcPr>
          <w:p w14:paraId="6604C27D">
            <w:pPr>
              <w:keepNext w:val="0"/>
              <w:keepLines w:val="0"/>
              <w:widowControl/>
              <w:suppressLineNumbers w:val="0"/>
              <w:jc w:val="center"/>
              <w:textAlignment w:val="center"/>
              <w:rPr>
                <w:rFonts w:hint="default" w:ascii="Times New Roman" w:hAnsi="Times New Roman" w:eastAsia="等线" w:cs="Times New Roman"/>
                <w:i/>
                <w:iCs/>
                <w:color w:val="000000"/>
                <w:kern w:val="0"/>
                <w:sz w:val="22"/>
                <w:szCs w:val="22"/>
                <w:u w:val="single"/>
                <w:lang w:val="en-US" w:eastAsia="zh-CN" w:bidi="ar"/>
              </w:rPr>
            </w:pPr>
            <w:r>
              <w:rPr>
                <w:rFonts w:hint="default" w:ascii="Times New Roman" w:hAnsi="Times New Roman" w:eastAsia="等线" w:cs="Times New Roman"/>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3E326256">
            <w:pPr>
              <w:keepNext w:val="0"/>
              <w:keepLines w:val="0"/>
              <w:widowControl/>
              <w:suppressLineNumbers w:val="0"/>
              <w:jc w:val="center"/>
              <w:textAlignment w:val="center"/>
              <w:rPr>
                <w:rFonts w:hint="default" w:ascii="Times New Roman" w:hAnsi="Times New Roman" w:eastAsia="宋体" w:cs="Times New Roman"/>
                <w:i/>
                <w:iCs/>
                <w:color w:val="000000"/>
                <w:kern w:val="0"/>
                <w:sz w:val="22"/>
                <w:szCs w:val="22"/>
                <w:u w:val="single"/>
                <w:lang w:val="en-US" w:eastAsia="zh-CN" w:bidi="ar"/>
              </w:rPr>
            </w:pPr>
            <w:r>
              <w:rPr>
                <w:rFonts w:hint="default" w:ascii="Times New Roman" w:hAnsi="Times New Roman" w:eastAsia="宋体" w:cs="Times New Roman"/>
                <w:i/>
                <w:iCs/>
                <w:color w:val="000000"/>
                <w:kern w:val="0"/>
                <w:sz w:val="22"/>
                <w:szCs w:val="22"/>
                <w:u w:val="single"/>
                <w:lang w:val="en-US" w:eastAsia="zh-CN" w:bidi="ar"/>
              </w:rPr>
              <w:t>是</w:t>
            </w:r>
          </w:p>
        </w:tc>
      </w:tr>
    </w:tbl>
    <w:p w14:paraId="78707120">
      <w:pPr>
        <w:spacing w:line="520" w:lineRule="exact"/>
        <w:ind w:firstLine="480" w:firstLineChars="200"/>
        <w:rPr>
          <w:rFonts w:hint="default" w:ascii="Times New Roman" w:hAnsi="Times New Roman" w:cs="Times New Roman"/>
          <w:b w:val="0"/>
          <w:bCs/>
          <w:i/>
          <w:iCs/>
          <w:sz w:val="24"/>
          <w:szCs w:val="24"/>
          <w:highlight w:val="none"/>
          <w:u w:val="single"/>
        </w:rPr>
      </w:pPr>
      <w:r>
        <w:rPr>
          <w:rFonts w:hint="default" w:ascii="Times New Roman" w:hAnsi="Times New Roman" w:cs="Times New Roman"/>
          <w:b w:val="0"/>
          <w:bCs/>
          <w:i/>
          <w:iCs/>
          <w:sz w:val="24"/>
          <w:szCs w:val="24"/>
          <w:highlight w:val="none"/>
          <w:u w:val="single"/>
        </w:rPr>
        <w:t>备注：</w:t>
      </w:r>
      <w:r>
        <w:rPr>
          <w:rFonts w:hint="default" w:ascii="Times New Roman" w:hAnsi="Times New Roman" w:cs="Times New Roman"/>
          <w:b w:val="0"/>
          <w:bCs/>
          <w:i/>
          <w:iCs/>
          <w:sz w:val="24"/>
          <w:szCs w:val="24"/>
          <w:highlight w:val="none"/>
          <w:u w:val="single"/>
          <w:lang w:val="en-US" w:eastAsia="zh-CN"/>
        </w:rPr>
        <w:t>1.</w:t>
      </w:r>
      <w:r>
        <w:rPr>
          <w:rFonts w:hint="default" w:ascii="Times New Roman" w:hAnsi="Times New Roman" w:cs="Times New Roman"/>
          <w:b w:val="0"/>
          <w:bCs/>
          <w:i/>
          <w:iCs/>
          <w:sz w:val="24"/>
          <w:szCs w:val="24"/>
          <w:highlight w:val="none"/>
          <w:u w:val="single"/>
        </w:rPr>
        <w:t>以上产品均须提供进口产品。产品须满足国际箭联（FITA）比赛规则要求，可在国际箭联、亚箭联、中国射箭协会的正式比赛中使用。</w:t>
      </w:r>
    </w:p>
    <w:p w14:paraId="78625641">
      <w:pPr>
        <w:spacing w:line="520" w:lineRule="exact"/>
        <w:ind w:firstLine="1200"/>
        <w:rPr>
          <w:rFonts w:hint="default" w:ascii="Times New Roman" w:hAnsi="Times New Roman" w:cs="Times New Roman"/>
          <w:b/>
          <w:i/>
          <w:iCs/>
          <w:sz w:val="24"/>
          <w:szCs w:val="24"/>
          <w:highlight w:val="none"/>
          <w:u w:val="single"/>
        </w:rPr>
      </w:pPr>
      <w:r>
        <w:rPr>
          <w:rFonts w:hint="default" w:ascii="Times New Roman" w:hAnsi="Times New Roman" w:cs="Times New Roman"/>
          <w:b w:val="0"/>
          <w:bCs/>
          <w:i/>
          <w:iCs/>
          <w:sz w:val="24"/>
          <w:szCs w:val="24"/>
          <w:highlight w:val="none"/>
          <w:u w:val="single"/>
          <w:lang w:val="en-US" w:eastAsia="zh-CN"/>
        </w:rPr>
        <w:t>2.</w:t>
      </w:r>
      <w:r>
        <w:rPr>
          <w:rFonts w:hint="default" w:ascii="Times New Roman" w:hAnsi="Times New Roman" w:cs="Times New Roman"/>
          <w:b w:val="0"/>
          <w:bCs/>
          <w:i/>
          <w:iCs/>
          <w:sz w:val="24"/>
          <w:szCs w:val="24"/>
          <w:highlight w:val="none"/>
          <w:u w:val="single"/>
        </w:rPr>
        <w:t>弓</w:t>
      </w:r>
      <w:r>
        <w:rPr>
          <w:rFonts w:hint="default" w:ascii="Times New Roman" w:hAnsi="Times New Roman" w:cs="Times New Roman"/>
          <w:b w:val="0"/>
          <w:bCs/>
          <w:i/>
          <w:iCs/>
          <w:sz w:val="24"/>
          <w:szCs w:val="24"/>
          <w:highlight w:val="none"/>
          <w:u w:val="single"/>
          <w:lang w:val="en-US" w:eastAsia="zh-CN"/>
        </w:rPr>
        <w:t>1</w:t>
      </w:r>
      <w:r>
        <w:rPr>
          <w:rFonts w:hint="default" w:ascii="Times New Roman" w:hAnsi="Times New Roman" w:cs="Times New Roman"/>
          <w:b w:val="0"/>
          <w:bCs/>
          <w:i/>
          <w:iCs/>
          <w:sz w:val="24"/>
          <w:szCs w:val="24"/>
          <w:highlight w:val="none"/>
          <w:u w:val="single"/>
        </w:rPr>
        <w:t>为核心产品。</w:t>
      </w:r>
    </w:p>
    <w:p w14:paraId="2C70A916">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三．商务要求</w:t>
      </w:r>
    </w:p>
    <w:p w14:paraId="014D7A45">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（一）交货时间、地点及验收方式</w:t>
      </w:r>
    </w:p>
    <w:p w14:paraId="1E7A35CE">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1．交货时间：合同签订后</w:t>
      </w:r>
      <w:r>
        <w:rPr>
          <w:rFonts w:hint="default" w:ascii="Times New Roman" w:hAnsi="Times New Roman" w:cs="Times New Roman"/>
          <w:sz w:val="24"/>
          <w:szCs w:val="24"/>
          <w:lang w:val="en-US" w:eastAsia="zh-CN"/>
        </w:rPr>
        <w:t>45</w:t>
      </w:r>
      <w:r>
        <w:rPr>
          <w:rFonts w:hint="default" w:ascii="Times New Roman" w:hAnsi="Times New Roman" w:cs="Times New Roman"/>
          <w:sz w:val="24"/>
          <w:szCs w:val="24"/>
        </w:rPr>
        <w:t>日历天（不可抗力因素除外）内供货、安装、调试完毕，保证项目交付采购人验收通过。</w:t>
      </w:r>
    </w:p>
    <w:p w14:paraId="737AA81D">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2．交货地点：江苏省方山体育训练基地。</w:t>
      </w:r>
    </w:p>
    <w:p w14:paraId="06C16AA3">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3．调试和验收</w:t>
      </w:r>
    </w:p>
    <w:p w14:paraId="5193FFAC">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采购人对中标供应商提交的货物依据招投标文件上的技术规格要求和国家有关质量标准进行现场初步验收，包括：型号、规格、数量、外观质量及货物包装是否完好。货到后，采购人在五个工作日内组织到货验收。</w:t>
      </w:r>
    </w:p>
    <w:p w14:paraId="1C6B3866">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中标供应商根据招标要求进行产品安装、调试、测试、试运行，直到符合技术要求后，向采购人提出验收申请。在中标供应商申请验收后五个工作日内，由采购人或采购人聘请技术专家或专业检测机构进行项目最终验收；如采购人不能在规定时间内组织验收，则算默认验收合格。因此支出的相关费用（包括但不限于检测费用及出具质量检测报告费用等）由采购人和中标供应商双方协商解决。验收合格后采购人方可启动使用设备。</w:t>
      </w:r>
    </w:p>
    <w:p w14:paraId="144F87E5">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（3）货物验收的标准：按行业通行标准、厂方出厂标准和中标供应商投标文件的承诺。</w:t>
      </w:r>
    </w:p>
    <w:p w14:paraId="14BB6938">
      <w:pPr>
        <w:spacing w:line="520" w:lineRule="exact"/>
        <w:ind w:firstLine="480"/>
        <w:rPr>
          <w:rFonts w:hint="default" w:ascii="Times New Roman" w:hAnsi="Times New Roman" w:eastAsia="宋体" w:cs="Times New Roman"/>
          <w:sz w:val="24"/>
          <w:szCs w:val="24"/>
          <w:lang w:val="en-US" w:eastAsia="zh-CN" w:bidi="ar-SA"/>
        </w:rPr>
      </w:pPr>
      <w:r>
        <w:rPr>
          <w:rFonts w:hint="default" w:ascii="Times New Roman" w:hAnsi="Times New Roman" w:cs="Times New Roman"/>
          <w:sz w:val="24"/>
          <w:szCs w:val="24"/>
          <w:lang w:val="en-US" w:eastAsia="zh-CN" w:bidi="ar-SA"/>
        </w:rPr>
        <w:t>（4）</w:t>
      </w:r>
      <w:r>
        <w:rPr>
          <w:rFonts w:hint="default" w:ascii="Times New Roman" w:hAnsi="Times New Roman" w:eastAsia="宋体" w:cs="Times New Roman"/>
          <w:sz w:val="24"/>
          <w:szCs w:val="24"/>
          <w:lang w:val="en-US" w:eastAsia="zh-CN" w:bidi="ar-SA"/>
        </w:rPr>
        <w:t>乙方所提供的货物的技术规格应与响应文件中的技术规格相一致，并保证货物交付用户时完好无损。</w:t>
      </w:r>
    </w:p>
    <w:p w14:paraId="00E1EAF6">
      <w:pPr>
        <w:spacing w:line="520" w:lineRule="exact"/>
        <w:ind w:firstLine="480"/>
        <w:rPr>
          <w:rFonts w:hint="default" w:ascii="Times New Roman" w:hAnsi="Times New Roman" w:cs="Times New Roman"/>
          <w:sz w:val="24"/>
          <w:szCs w:val="24"/>
          <w:lang w:val="en-US" w:eastAsia="zh-CN" w:bidi="ar-SA"/>
        </w:rPr>
      </w:pPr>
      <w:r>
        <w:rPr>
          <w:rFonts w:hint="default" w:ascii="Times New Roman" w:hAnsi="Times New Roman" w:cs="Times New Roman"/>
          <w:sz w:val="24"/>
          <w:szCs w:val="24"/>
          <w:lang w:val="en-US" w:eastAsia="zh-CN" w:bidi="ar-SA"/>
        </w:rPr>
        <w:t>（5）</w:t>
      </w:r>
      <w:r>
        <w:rPr>
          <w:rFonts w:hint="default" w:ascii="Times New Roman" w:hAnsi="Times New Roman" w:eastAsia="宋体" w:cs="Times New Roman"/>
          <w:sz w:val="24"/>
          <w:szCs w:val="24"/>
          <w:lang w:val="en-US" w:eastAsia="zh-CN" w:bidi="ar-SA"/>
        </w:rPr>
        <w:t>乙方应保证货物是全新、未使用过的原装合格正品，并完全符合合同规定的质量、规格和性能的要求。乙方应保证其提供的货物在正确安装、正常使用和保养条件下，在其使用寿命内具有良好的性能。货物验收后，在质量保证期内，乙方应对由于制作、工艺或材料的缺陷所发生的任何不足或故障负责，所需费用由乙方承担</w:t>
      </w:r>
      <w:r>
        <w:rPr>
          <w:rFonts w:hint="default" w:ascii="Times New Roman" w:hAnsi="Times New Roman" w:cs="Times New Roman"/>
          <w:sz w:val="24"/>
          <w:szCs w:val="24"/>
          <w:lang w:val="en-US" w:eastAsia="zh-CN" w:bidi="ar-SA"/>
        </w:rPr>
        <w:t>。</w:t>
      </w:r>
    </w:p>
    <w:p w14:paraId="6294C90E">
      <w:pPr>
        <w:spacing w:line="520" w:lineRule="exact"/>
        <w:ind w:firstLine="480"/>
        <w:rPr>
          <w:rFonts w:hint="default" w:ascii="Times New Roman" w:hAnsi="Times New Roman" w:eastAsia="宋体" w:cs="Times New Roman"/>
          <w:sz w:val="24"/>
          <w:szCs w:val="24"/>
          <w:lang w:val="en-US" w:eastAsia="zh-CN" w:bidi="ar-SA"/>
        </w:rPr>
      </w:pPr>
      <w:r>
        <w:rPr>
          <w:rFonts w:hint="default" w:ascii="Times New Roman" w:hAnsi="Times New Roman" w:cs="Times New Roman"/>
          <w:sz w:val="24"/>
          <w:szCs w:val="24"/>
          <w:lang w:val="en-US" w:eastAsia="zh-CN" w:bidi="ar-SA"/>
        </w:rPr>
        <w:t>（6）</w:t>
      </w:r>
      <w:r>
        <w:rPr>
          <w:rFonts w:hint="default" w:ascii="Times New Roman" w:hAnsi="Times New Roman" w:eastAsia="宋体" w:cs="Times New Roman"/>
          <w:sz w:val="24"/>
          <w:szCs w:val="24"/>
          <w:lang w:val="en-US" w:eastAsia="zh-CN" w:bidi="ar-SA"/>
        </w:rPr>
        <w:t>交付使用前发生的货物损坏或不合格，一律退换新品。</w:t>
      </w:r>
    </w:p>
    <w:p w14:paraId="62AA4647">
      <w:pPr>
        <w:spacing w:line="520" w:lineRule="exact"/>
        <w:ind w:firstLine="480"/>
        <w:rPr>
          <w:rFonts w:hint="default" w:ascii="Times New Roman" w:hAnsi="Times New Roman" w:eastAsia="宋体" w:cs="Times New Roman"/>
          <w:sz w:val="24"/>
          <w:szCs w:val="24"/>
          <w:lang w:val="en-US" w:eastAsia="zh-CN" w:bidi="ar-SA"/>
        </w:rPr>
      </w:pPr>
      <w:r>
        <w:rPr>
          <w:rFonts w:hint="default" w:ascii="Times New Roman" w:hAnsi="Times New Roman" w:cs="Times New Roman"/>
          <w:sz w:val="24"/>
          <w:szCs w:val="24"/>
          <w:lang w:val="en-US" w:eastAsia="zh-CN" w:bidi="ar-SA"/>
        </w:rPr>
        <w:t>（7）</w:t>
      </w:r>
      <w:r>
        <w:rPr>
          <w:rFonts w:hint="default" w:ascii="Times New Roman" w:hAnsi="Times New Roman" w:eastAsia="宋体" w:cs="Times New Roman"/>
          <w:sz w:val="24"/>
          <w:szCs w:val="24"/>
          <w:lang w:val="en-US" w:eastAsia="zh-CN" w:bidi="ar-SA"/>
        </w:rPr>
        <w:t>根据相关质量检验部门检验结果或者在质量保证期内，如果货物的数量、质量或规格与合同不符，或证明货物是有缺陷的，包括潜在的缺陷或使用不符合要求的材料等，甲方有权以书面形式向乙方提出索赔。如果不符合技术要求，经双方协商，根据实际情况，可按以下情况进行处理：</w:t>
      </w:r>
    </w:p>
    <w:p w14:paraId="2B8189EF">
      <w:pPr>
        <w:spacing w:line="520" w:lineRule="exact"/>
        <w:ind w:firstLine="480"/>
        <w:rPr>
          <w:rFonts w:hint="default" w:ascii="Times New Roman" w:hAnsi="Times New Roman" w:eastAsia="宋体" w:cs="Times New Roman"/>
          <w:sz w:val="24"/>
          <w:szCs w:val="24"/>
          <w:lang w:val="en-US" w:eastAsia="zh-CN" w:bidi="ar-SA"/>
        </w:rPr>
      </w:pPr>
      <w:r>
        <w:rPr>
          <w:rFonts w:hint="default" w:ascii="Times New Roman" w:hAnsi="Times New Roman" w:eastAsia="宋体" w:cs="Times New Roman"/>
          <w:sz w:val="24"/>
          <w:szCs w:val="24"/>
          <w:lang w:val="en-US" w:eastAsia="zh-CN" w:bidi="ar-SA"/>
        </w:rPr>
        <w:t>①更换：由乙方承担因更换货物所发生的全部费用。</w:t>
      </w:r>
    </w:p>
    <w:p w14:paraId="2EEA9D56">
      <w:pPr>
        <w:spacing w:line="520" w:lineRule="exact"/>
        <w:ind w:firstLine="480"/>
        <w:rPr>
          <w:rFonts w:hint="default" w:ascii="Times New Roman" w:hAnsi="Times New Roman" w:eastAsia="宋体" w:cs="Times New Roman"/>
          <w:sz w:val="24"/>
          <w:szCs w:val="24"/>
          <w:lang w:val="en-US" w:eastAsia="zh-CN" w:bidi="ar-SA"/>
        </w:rPr>
      </w:pPr>
      <w:r>
        <w:rPr>
          <w:rFonts w:hint="default" w:ascii="Times New Roman" w:hAnsi="Times New Roman" w:eastAsia="宋体" w:cs="Times New Roman"/>
          <w:sz w:val="24"/>
          <w:szCs w:val="24"/>
          <w:lang w:val="en-US" w:eastAsia="zh-CN" w:bidi="ar-SA"/>
        </w:rPr>
        <w:t>②贬值处理：由甲乙双方合议定价。</w:t>
      </w:r>
    </w:p>
    <w:p w14:paraId="6C48D9F1">
      <w:pPr>
        <w:spacing w:line="520" w:lineRule="exact"/>
        <w:ind w:firstLine="480"/>
        <w:rPr>
          <w:rFonts w:hint="default" w:ascii="Times New Roman" w:hAnsi="Times New Roman" w:eastAsia="宋体" w:cs="Times New Roman"/>
          <w:sz w:val="24"/>
          <w:szCs w:val="24"/>
          <w:lang w:val="en-US" w:eastAsia="zh-CN" w:bidi="ar-SA"/>
        </w:rPr>
      </w:pPr>
      <w:r>
        <w:rPr>
          <w:rFonts w:hint="default" w:ascii="Times New Roman" w:hAnsi="Times New Roman" w:eastAsia="宋体" w:cs="Times New Roman"/>
          <w:sz w:val="24"/>
          <w:szCs w:val="24"/>
          <w:lang w:val="en-US" w:eastAsia="zh-CN" w:bidi="ar-SA"/>
        </w:rPr>
        <w:t>③退货处理：乙方应退还甲方支付相应货物的合同价款，同时应承担因退还该货物所产生的直接费用（包括但不限于运输、保险、检验、货款利息及银行手续费等）。如果造成其他损失的，乙方应承担相应的损失。</w:t>
      </w:r>
    </w:p>
    <w:p w14:paraId="667A2ECF">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（二）伴随服务／售后服务</w:t>
      </w:r>
    </w:p>
    <w:p w14:paraId="7F7287FA">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w:t>
      </w:r>
      <w:r>
        <w:rPr>
          <w:rFonts w:hint="default" w:ascii="Times New Roman" w:hAnsi="Times New Roman" w:cs="Times New Roman"/>
          <w:sz w:val="24"/>
          <w:szCs w:val="24"/>
        </w:rPr>
        <w:t>供应商</w:t>
      </w:r>
      <w:r>
        <w:rPr>
          <w:rFonts w:hint="default" w:ascii="Times New Roman" w:hAnsi="Times New Roman" w:cs="Times New Roman"/>
          <w:color w:val="000000"/>
          <w:sz w:val="24"/>
        </w:rPr>
        <w:t>应按照国家有关法律法规规章和“三包”规定以及合同所附的“服务承诺”提供服务。</w:t>
      </w:r>
    </w:p>
    <w:p w14:paraId="4614099C">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w:t>
      </w:r>
      <w:r>
        <w:rPr>
          <w:rFonts w:hint="default" w:ascii="Times New Roman" w:hAnsi="Times New Roman" w:cs="Times New Roman"/>
          <w:sz w:val="24"/>
          <w:szCs w:val="24"/>
        </w:rPr>
        <w:t>供应商</w:t>
      </w:r>
      <w:r>
        <w:rPr>
          <w:rFonts w:hint="default" w:ascii="Times New Roman" w:hAnsi="Times New Roman" w:cs="Times New Roman"/>
          <w:color w:val="000000"/>
          <w:sz w:val="24"/>
        </w:rPr>
        <w:t>负责货物的现场安装、调试和/或启动监督；</w:t>
      </w:r>
    </w:p>
    <w:p w14:paraId="0BCB016A">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供应商为采购人提供免费培训服务，并指派专人负责与采购人联系售后服务事宜。主要培训内容为货物的基本结构、性能、主要部件的构造及处理，日常使用操作、保养与管理、常见故障的排除、紧急情况的处理等，如采购人未使用过同类型货物，</w:t>
      </w:r>
      <w:r>
        <w:rPr>
          <w:rFonts w:hint="default" w:ascii="Times New Roman" w:hAnsi="Times New Roman" w:cs="Times New Roman"/>
          <w:sz w:val="24"/>
          <w:szCs w:val="24"/>
        </w:rPr>
        <w:t>供应商</w:t>
      </w:r>
      <w:r>
        <w:rPr>
          <w:rFonts w:hint="default" w:ascii="Times New Roman" w:hAnsi="Times New Roman" w:cs="Times New Roman"/>
          <w:color w:val="000000"/>
          <w:sz w:val="24"/>
        </w:rPr>
        <w:t>还需就货物的功能对采购人人员进行相应的技术培训，培训地点主要在货物安装现场或由采购人安排。</w:t>
      </w:r>
    </w:p>
    <w:p w14:paraId="5EA19C33">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w:t>
      </w:r>
      <w:r>
        <w:rPr>
          <w:rFonts w:hint="default" w:ascii="Times New Roman" w:hAnsi="Times New Roman" w:cs="Times New Roman"/>
          <w:sz w:val="24"/>
          <w:szCs w:val="24"/>
        </w:rPr>
        <w:t>供应商需</w:t>
      </w:r>
      <w:r>
        <w:rPr>
          <w:rFonts w:hint="default" w:ascii="Times New Roman" w:hAnsi="Times New Roman" w:cs="Times New Roman"/>
          <w:color w:val="000000"/>
          <w:sz w:val="24"/>
        </w:rPr>
        <w:t>提供至少</w:t>
      </w:r>
      <w:r>
        <w:rPr>
          <w:rFonts w:hint="default" w:ascii="Times New Roman" w:hAnsi="Times New Roman" w:cs="Times New Roman"/>
          <w:b/>
          <w:bCs/>
          <w:color w:val="000000"/>
          <w:sz w:val="24"/>
        </w:rPr>
        <w:t>一年</w:t>
      </w:r>
      <w:r>
        <w:rPr>
          <w:rFonts w:hint="default" w:ascii="Times New Roman" w:hAnsi="Times New Roman" w:cs="Times New Roman"/>
          <w:color w:val="000000"/>
          <w:sz w:val="24"/>
        </w:rPr>
        <w:t>的免费质保（自验收合格之日起算）。质保期内，</w:t>
      </w:r>
      <w:r>
        <w:rPr>
          <w:rFonts w:hint="default" w:ascii="Times New Roman" w:hAnsi="Times New Roman" w:cs="Times New Roman"/>
          <w:sz w:val="24"/>
          <w:szCs w:val="24"/>
        </w:rPr>
        <w:t>供应商</w:t>
      </w:r>
      <w:r>
        <w:rPr>
          <w:rFonts w:hint="default" w:ascii="Times New Roman" w:hAnsi="Times New Roman" w:cs="Times New Roman"/>
          <w:color w:val="000000"/>
          <w:sz w:val="24"/>
        </w:rPr>
        <w:t>负责对其提供的货物整机进行维修和系统维护，不再收取任何费用，但不可抗力（如火灾、雷击等）造成的故障除外。</w:t>
      </w:r>
    </w:p>
    <w:p w14:paraId="1BD6102E">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5、在质保期内，</w:t>
      </w:r>
      <w:r>
        <w:rPr>
          <w:rFonts w:hint="default" w:ascii="Times New Roman" w:hAnsi="Times New Roman" w:cs="Times New Roman"/>
          <w:sz w:val="24"/>
          <w:szCs w:val="24"/>
        </w:rPr>
        <w:t>供应商</w:t>
      </w:r>
      <w:r>
        <w:rPr>
          <w:rFonts w:hint="default" w:ascii="Times New Roman" w:hAnsi="Times New Roman" w:cs="Times New Roman"/>
          <w:color w:val="000000"/>
          <w:sz w:val="24"/>
        </w:rPr>
        <w:t>负责为</w:t>
      </w:r>
      <w:r>
        <w:rPr>
          <w:rFonts w:hint="default" w:ascii="Times New Roman" w:hAnsi="Times New Roman" w:cs="Times New Roman"/>
          <w:sz w:val="24"/>
          <w:szCs w:val="24"/>
        </w:rPr>
        <w:t>采购人</w:t>
      </w:r>
      <w:r>
        <w:rPr>
          <w:rFonts w:hint="default" w:ascii="Times New Roman" w:hAnsi="Times New Roman" w:cs="Times New Roman"/>
          <w:color w:val="000000"/>
          <w:sz w:val="24"/>
        </w:rPr>
        <w:t>提供免费技术培训和现场技术指导。</w:t>
      </w:r>
    </w:p>
    <w:p w14:paraId="340DB2CD">
      <w:pPr>
        <w:spacing w:line="520" w:lineRule="exact"/>
        <w:ind w:firstLine="480"/>
        <w:rPr>
          <w:rFonts w:hint="default" w:ascii="Times New Roman" w:hAnsi="Times New Roman" w:cs="Times New Roman"/>
        </w:rPr>
      </w:pPr>
      <w:r>
        <w:rPr>
          <w:rFonts w:hint="default" w:ascii="Times New Roman" w:hAnsi="Times New Roman" w:cs="Times New Roman"/>
          <w:color w:val="000000"/>
          <w:sz w:val="24"/>
        </w:rPr>
        <w:t>6、</w:t>
      </w:r>
      <w:r>
        <w:rPr>
          <w:rFonts w:hint="default" w:ascii="Times New Roman" w:hAnsi="Times New Roman" w:eastAsia="宋体" w:cs="Times New Roman"/>
          <w:sz w:val="24"/>
          <w:szCs w:val="24"/>
          <w:lang w:val="en-US" w:eastAsia="zh-CN" w:bidi="ar-SA"/>
        </w:rPr>
        <w:t>供应商和厂家在质量保证期内为用户提供技术援助电话，电话咨询不能解决的，成交供应商或厂家应在24小时内采取相应响应措施。</w:t>
      </w:r>
    </w:p>
    <w:p w14:paraId="1FD661DF">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7、如因</w:t>
      </w:r>
      <w:r>
        <w:rPr>
          <w:rFonts w:hint="default" w:ascii="Times New Roman" w:hAnsi="Times New Roman" w:cs="Times New Roman"/>
          <w:sz w:val="24"/>
          <w:szCs w:val="24"/>
        </w:rPr>
        <w:t>供应商</w:t>
      </w:r>
      <w:r>
        <w:rPr>
          <w:rFonts w:hint="default" w:ascii="Times New Roman" w:hAnsi="Times New Roman" w:cs="Times New Roman"/>
          <w:color w:val="000000"/>
          <w:sz w:val="24"/>
        </w:rPr>
        <w:t>提供的货物硬件或软件有缺陷，或</w:t>
      </w:r>
      <w:r>
        <w:rPr>
          <w:rFonts w:hint="default" w:ascii="Times New Roman" w:hAnsi="Times New Roman" w:cs="Times New Roman"/>
          <w:sz w:val="24"/>
          <w:szCs w:val="24"/>
        </w:rPr>
        <w:t>供应商</w:t>
      </w:r>
      <w:r>
        <w:rPr>
          <w:rFonts w:hint="default" w:ascii="Times New Roman" w:hAnsi="Times New Roman" w:cs="Times New Roman"/>
          <w:color w:val="000000"/>
          <w:sz w:val="24"/>
        </w:rPr>
        <w:t>提供的技术资料有错误，或</w:t>
      </w:r>
      <w:r>
        <w:rPr>
          <w:rFonts w:hint="default" w:ascii="Times New Roman" w:hAnsi="Times New Roman" w:cs="Times New Roman"/>
          <w:sz w:val="24"/>
          <w:szCs w:val="24"/>
        </w:rPr>
        <w:t>供应商</w:t>
      </w:r>
      <w:r>
        <w:rPr>
          <w:rFonts w:hint="default" w:ascii="Times New Roman" w:hAnsi="Times New Roman" w:cs="Times New Roman"/>
          <w:color w:val="000000"/>
          <w:sz w:val="24"/>
        </w:rPr>
        <w:t>在现场的技术人员指导有错误而使合同货物不能达到合同规定的指标和技术性能，</w:t>
      </w:r>
      <w:r>
        <w:rPr>
          <w:rFonts w:hint="default" w:ascii="Times New Roman" w:hAnsi="Times New Roman" w:cs="Times New Roman"/>
          <w:sz w:val="24"/>
          <w:szCs w:val="24"/>
        </w:rPr>
        <w:t>供应商</w:t>
      </w:r>
      <w:r>
        <w:rPr>
          <w:rFonts w:hint="default" w:ascii="Times New Roman" w:hAnsi="Times New Roman" w:cs="Times New Roman"/>
          <w:color w:val="000000"/>
          <w:sz w:val="24"/>
        </w:rPr>
        <w:t>应负责修理或更换有缺陷和损坏的货物硬件或软件，使合同货物运行指标和技术性能达到合同规定，由此引起的全部费用由</w:t>
      </w:r>
      <w:r>
        <w:rPr>
          <w:rFonts w:hint="default" w:ascii="Times New Roman" w:hAnsi="Times New Roman" w:cs="Times New Roman"/>
          <w:sz w:val="24"/>
          <w:szCs w:val="24"/>
        </w:rPr>
        <w:t>供应商</w:t>
      </w:r>
      <w:r>
        <w:rPr>
          <w:rFonts w:hint="default" w:ascii="Times New Roman" w:hAnsi="Times New Roman" w:cs="Times New Roman"/>
          <w:color w:val="000000"/>
          <w:sz w:val="24"/>
        </w:rPr>
        <w:t>承担。</w:t>
      </w:r>
    </w:p>
    <w:p w14:paraId="190C7B49">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8、在合同货物保修期内，如果由于</w:t>
      </w:r>
      <w:r>
        <w:rPr>
          <w:rFonts w:hint="default" w:ascii="Times New Roman" w:hAnsi="Times New Roman" w:cs="Times New Roman"/>
          <w:sz w:val="24"/>
          <w:szCs w:val="24"/>
        </w:rPr>
        <w:t>供应商</w:t>
      </w:r>
      <w:r>
        <w:rPr>
          <w:rFonts w:hint="default" w:ascii="Times New Roman" w:hAnsi="Times New Roman" w:cs="Times New Roman"/>
          <w:color w:val="000000"/>
          <w:sz w:val="24"/>
        </w:rPr>
        <w:t>更换、修理和续补货物，而造成本合同货物不得不停止运行，货物免费质保期期应依照停止运行的实际时间加以延长，如因此给采购人造成损失，</w:t>
      </w:r>
      <w:r>
        <w:rPr>
          <w:rFonts w:hint="default" w:ascii="Times New Roman" w:hAnsi="Times New Roman" w:cs="Times New Roman"/>
          <w:sz w:val="24"/>
          <w:szCs w:val="24"/>
        </w:rPr>
        <w:t>供应商</w:t>
      </w:r>
      <w:r>
        <w:rPr>
          <w:rFonts w:hint="default" w:ascii="Times New Roman" w:hAnsi="Times New Roman" w:cs="Times New Roman"/>
          <w:color w:val="000000"/>
          <w:sz w:val="24"/>
        </w:rPr>
        <w:t>应负责赔偿。</w:t>
      </w:r>
    </w:p>
    <w:p w14:paraId="03E6DF93">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9、所有货物保修服务方式均为</w:t>
      </w:r>
      <w:r>
        <w:rPr>
          <w:rFonts w:hint="default" w:ascii="Times New Roman" w:hAnsi="Times New Roman" w:cs="Times New Roman"/>
          <w:sz w:val="24"/>
          <w:szCs w:val="24"/>
        </w:rPr>
        <w:t>供应商</w:t>
      </w:r>
      <w:r>
        <w:rPr>
          <w:rFonts w:hint="default" w:ascii="Times New Roman" w:hAnsi="Times New Roman" w:cs="Times New Roman"/>
          <w:color w:val="000000"/>
          <w:sz w:val="24"/>
        </w:rPr>
        <w:t>上门保修，即由</w:t>
      </w:r>
      <w:r>
        <w:rPr>
          <w:rFonts w:hint="default" w:ascii="Times New Roman" w:hAnsi="Times New Roman" w:cs="Times New Roman"/>
          <w:sz w:val="24"/>
          <w:szCs w:val="24"/>
        </w:rPr>
        <w:t>供应商</w:t>
      </w:r>
      <w:r>
        <w:rPr>
          <w:rFonts w:hint="default" w:ascii="Times New Roman" w:hAnsi="Times New Roman" w:cs="Times New Roman"/>
          <w:color w:val="000000"/>
          <w:sz w:val="24"/>
        </w:rPr>
        <w:t>派员到货物使用现场维修，由此产生的一切费用均由</w:t>
      </w:r>
      <w:r>
        <w:rPr>
          <w:rFonts w:hint="default" w:ascii="Times New Roman" w:hAnsi="Times New Roman" w:cs="Times New Roman"/>
          <w:sz w:val="24"/>
          <w:szCs w:val="24"/>
        </w:rPr>
        <w:t>供应商</w:t>
      </w:r>
      <w:r>
        <w:rPr>
          <w:rFonts w:hint="default" w:ascii="Times New Roman" w:hAnsi="Times New Roman" w:cs="Times New Roman"/>
          <w:color w:val="000000"/>
          <w:sz w:val="24"/>
        </w:rPr>
        <w:t>承担。如</w:t>
      </w:r>
      <w:r>
        <w:rPr>
          <w:rFonts w:hint="default" w:ascii="Times New Roman" w:hAnsi="Times New Roman" w:cs="Times New Roman"/>
          <w:sz w:val="24"/>
          <w:szCs w:val="24"/>
        </w:rPr>
        <w:t>供应商</w:t>
      </w:r>
      <w:r>
        <w:rPr>
          <w:rFonts w:hint="default" w:ascii="Times New Roman" w:hAnsi="Times New Roman" w:cs="Times New Roman"/>
          <w:color w:val="000000"/>
          <w:sz w:val="24"/>
        </w:rPr>
        <w:t>在接到采购人通知后不到场，则采购人有权聘请其他技术人员到场进行技术支持，相关费用由供应商承担，采购人有权在尾款中直接扣除相关费用。</w:t>
      </w:r>
    </w:p>
    <w:p w14:paraId="6AD04294">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sz w:val="24"/>
          <w:szCs w:val="24"/>
        </w:rPr>
        <w:t>（三）</w:t>
      </w:r>
      <w:r>
        <w:rPr>
          <w:rFonts w:hint="default" w:ascii="Times New Roman" w:hAnsi="Times New Roman" w:cs="Times New Roman"/>
          <w:b/>
          <w:color w:val="000000"/>
          <w:sz w:val="24"/>
        </w:rPr>
        <w:t>履约保证金</w:t>
      </w:r>
    </w:p>
    <w:p w14:paraId="6FC2A797">
      <w:pPr>
        <w:spacing w:line="520" w:lineRule="exact"/>
        <w:ind w:firstLine="480"/>
        <w:rPr>
          <w:rFonts w:hint="default" w:ascii="Times New Roman" w:hAnsi="Times New Roman" w:cs="Times New Roman"/>
          <w:color w:val="000000"/>
          <w:sz w:val="24"/>
          <w:highlight w:val="none"/>
          <w:lang w:val="en-US" w:eastAsia="zh-CN"/>
        </w:rPr>
      </w:pPr>
      <w:r>
        <w:rPr>
          <w:rFonts w:hint="default" w:ascii="Times New Roman" w:hAnsi="Times New Roman" w:cs="Times New Roman"/>
          <w:color w:val="000000"/>
          <w:sz w:val="24"/>
          <w:highlight w:val="none"/>
          <w:lang w:val="en-US" w:eastAsia="zh-CN"/>
        </w:rPr>
        <w:t>本项目不收取履约保证金。</w:t>
      </w:r>
    </w:p>
    <w:p w14:paraId="014E02AA">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（四）采购预算及付款方式</w:t>
      </w:r>
    </w:p>
    <w:p w14:paraId="7B2DAA08">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1．采购预算：本项目采购预算为</w:t>
      </w:r>
      <w:r>
        <w:rPr>
          <w:rFonts w:hint="default" w:ascii="Times New Roman" w:hAnsi="Times New Roman" w:cs="Times New Roman"/>
          <w:sz w:val="24"/>
          <w:szCs w:val="24"/>
          <w:lang w:val="en-US" w:eastAsia="zh-CN"/>
        </w:rPr>
        <w:t>95</w:t>
      </w:r>
      <w:r>
        <w:rPr>
          <w:rFonts w:hint="default" w:ascii="Times New Roman" w:hAnsi="Times New Roman" w:cs="Times New Roman"/>
          <w:sz w:val="24"/>
          <w:szCs w:val="24"/>
        </w:rPr>
        <w:t>万元。</w:t>
      </w:r>
    </w:p>
    <w:p w14:paraId="71A45250">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付款方式：合同生效后10个工作日内，甲方支付合同总价款的50%作为预付款；全部货物按期交付送至甲方指定地点，经甲方验收合格完毕后，凭甲方加盖公章的验收报告、乙方所提供的真实、合法的销售发票等，甲方在20个工作日内支付合同总价款的50%。</w:t>
      </w:r>
    </w:p>
    <w:p w14:paraId="72E801CA">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（五）报价要求</w:t>
      </w:r>
    </w:p>
    <w:p w14:paraId="70F8DA23">
      <w:pPr>
        <w:spacing w:line="520" w:lineRule="exact"/>
        <w:ind w:firstLine="482"/>
        <w:rPr>
          <w:rFonts w:hint="default" w:ascii="Times New Roman" w:hAnsi="Times New Roman" w:cs="Times New Roman"/>
          <w:b w:val="0"/>
          <w:bCs/>
          <w:sz w:val="24"/>
          <w:szCs w:val="24"/>
        </w:rPr>
      </w:pPr>
      <w:r>
        <w:rPr>
          <w:rFonts w:hint="default" w:ascii="Times New Roman" w:hAnsi="Times New Roman" w:cs="Times New Roman"/>
          <w:b w:val="0"/>
          <w:bCs/>
          <w:sz w:val="24"/>
          <w:szCs w:val="24"/>
        </w:rPr>
        <w:t>以人民币报价，价格为交钥匙价，包括但不限于货物成本、利润、运输费（含保险费）、装卸费、安装调试费、检测验收费、售后服务费以及与本项目有关的所有税、费；采购人无须另向中标供应商支付其他任何费用。</w:t>
      </w:r>
    </w:p>
    <w:p w14:paraId="333C6FC4">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（六）知识产权</w:t>
      </w:r>
    </w:p>
    <w:p w14:paraId="1BB09918">
      <w:pPr>
        <w:spacing w:line="540" w:lineRule="exact"/>
        <w:ind w:firstLine="480"/>
        <w:rPr>
          <w:rFonts w:hint="default" w:ascii="Times New Roman" w:hAnsi="Times New Roman" w:cs="Times New Roman"/>
          <w:b/>
          <w:sz w:val="24"/>
          <w:szCs w:val="24"/>
        </w:rPr>
      </w:pPr>
      <w:r>
        <w:rPr>
          <w:rFonts w:hint="default" w:ascii="Times New Roman" w:hAnsi="Times New Roman" w:cs="Times New Roman"/>
          <w:sz w:val="24"/>
          <w:szCs w:val="24"/>
        </w:rPr>
        <w:t>采购人在中华人民共和国境内使用成交供应商提供的货物及服务时免受第三方提出的侵犯其专利权或其它知识产权的起诉。如果第三方提出侵权指控，成交供应商应承担由此而引起的一切法律责任和费用，包括诉讼费、律师费、鉴定费、差旅费等。</w:t>
      </w:r>
    </w:p>
    <w:p w14:paraId="74735906">
      <w:pPr>
        <w:pStyle w:val="187"/>
        <w:numPr>
          <w:ilvl w:val="0"/>
          <w:numId w:val="4"/>
        </w:numPr>
        <w:rPr>
          <w:rFonts w:hint="default" w:ascii="Times New Roman" w:hAnsi="Times New Roman" w:eastAsia="黑体" w:cs="Times New Roman"/>
          <w:bCs/>
          <w:sz w:val="44"/>
        </w:rPr>
      </w:pPr>
      <w:r>
        <w:rPr>
          <w:rFonts w:hint="default" w:ascii="Times New Roman" w:hAnsi="Times New Roman" w:eastAsia="黑体" w:cs="Times New Roman"/>
          <w:bCs/>
          <w:sz w:val="44"/>
        </w:rPr>
        <w:br w:type="page" w:clear="all"/>
      </w:r>
      <w:bookmarkEnd w:id="180"/>
      <w:bookmarkEnd w:id="181"/>
      <w:bookmarkEnd w:id="182"/>
      <w:bookmarkStart w:id="183" w:name="_Hlt26955041"/>
      <w:bookmarkEnd w:id="183"/>
      <w:bookmarkStart w:id="184" w:name="_Toc511899516"/>
      <w:bookmarkStart w:id="185" w:name="_Toc481071970"/>
      <w:bookmarkStart w:id="186" w:name="_Toc475009300"/>
      <w:bookmarkStart w:id="187" w:name="_Toc121905579"/>
      <w:bookmarkStart w:id="188" w:name="_Toc481072016"/>
      <w:bookmarkStart w:id="189" w:name="_Toc513029276"/>
      <w:bookmarkStart w:id="190" w:name="_Toc26554095"/>
      <w:bookmarkStart w:id="191" w:name="_Toc49090577"/>
      <w:bookmarkStart w:id="192" w:name="_Toc120614283"/>
      <w:bookmarkStart w:id="193" w:name="_Toc23828478"/>
      <w:bookmarkStart w:id="194" w:name="_Toc460901585"/>
      <w:bookmarkStart w:id="195" w:name="_Toc22356580"/>
      <w:r>
        <w:rPr>
          <w:rFonts w:hint="default" w:ascii="Times New Roman" w:hAnsi="Times New Roman" w:eastAsia="黑体" w:cs="Times New Roman"/>
          <w:bCs/>
          <w:sz w:val="44"/>
        </w:rPr>
        <w:t>评标办法和评标标准</w:t>
      </w:r>
      <w:bookmarkEnd w:id="184"/>
      <w:bookmarkEnd w:id="185"/>
      <w:bookmarkEnd w:id="186"/>
      <w:bookmarkEnd w:id="187"/>
      <w:bookmarkEnd w:id="188"/>
    </w:p>
    <w:p w14:paraId="52EA448A">
      <w:pPr>
        <w:spacing w:line="540" w:lineRule="exact"/>
        <w:ind w:firstLine="542"/>
        <w:rPr>
          <w:rFonts w:hint="default" w:ascii="Times New Roman" w:hAnsi="Times New Roman" w:cs="Times New Roman"/>
          <w:b/>
          <w:sz w:val="24"/>
          <w:szCs w:val="24"/>
        </w:rPr>
      </w:pPr>
      <w:r>
        <w:rPr>
          <w:rFonts w:hint="default" w:ascii="Times New Roman" w:hAnsi="Times New Roman" w:cs="Times New Roman"/>
          <w:b/>
          <w:sz w:val="24"/>
          <w:szCs w:val="24"/>
        </w:rPr>
        <w:t>一．评标办法</w:t>
      </w:r>
    </w:p>
    <w:p w14:paraId="25D880FD">
      <w:pPr>
        <w:spacing w:line="520" w:lineRule="exact"/>
        <w:ind w:firstLine="540"/>
        <w:rPr>
          <w:rFonts w:hint="default" w:ascii="Times New Roman" w:hAnsi="Times New Roman" w:cs="Times New Roman"/>
          <w:sz w:val="24"/>
        </w:rPr>
      </w:pPr>
      <w:r>
        <w:rPr>
          <w:rFonts w:hint="default" w:ascii="Times New Roman" w:hAnsi="Times New Roman" w:cs="Times New Roman"/>
          <w:sz w:val="24"/>
        </w:rPr>
        <w:t>本项目采用综合评分法，评标结果按评审后得分由高到低顺序排列。得分相同的，按投标报价由低到高顺序排列，得分且投标报价相同的并列。评委会仅对确定为实质上响应招标文件要求的投标文件进行评价和比较，且按照评审因素的量化指标评审得分由高到低顺序确定1名中标供应商。</w:t>
      </w:r>
    </w:p>
    <w:p w14:paraId="31FAE378">
      <w:pPr>
        <w:numPr>
          <w:ilvl w:val="0"/>
          <w:numId w:val="5"/>
        </w:numPr>
        <w:spacing w:line="520" w:lineRule="exact"/>
        <w:rPr>
          <w:rFonts w:hint="default" w:ascii="Times New Roman" w:hAnsi="Times New Roman" w:cs="Times New Roman"/>
          <w:b/>
          <w:sz w:val="24"/>
        </w:rPr>
      </w:pPr>
      <w:r>
        <w:rPr>
          <w:rFonts w:hint="default" w:ascii="Times New Roman" w:hAnsi="Times New Roman" w:cs="Times New Roman"/>
          <w:b/>
          <w:sz w:val="24"/>
        </w:rPr>
        <w:t>评标标准</w:t>
      </w:r>
    </w:p>
    <w:tbl>
      <w:tblPr>
        <w:tblStyle w:val="31"/>
        <w:tblW w:w="90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3"/>
        <w:gridCol w:w="1518"/>
        <w:gridCol w:w="709"/>
        <w:gridCol w:w="6284"/>
      </w:tblGrid>
      <w:tr w14:paraId="1D3F8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7C2A7852">
            <w:pPr>
              <w:widowControl/>
              <w:ind w:left="-90" w:leftChars="-43" w:right="-103" w:rightChars="-49"/>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序号</w:t>
            </w:r>
          </w:p>
        </w:tc>
        <w:tc>
          <w:tcPr>
            <w:tcW w:w="1518" w:type="dxa"/>
            <w:noWrap w:val="0"/>
            <w:vAlign w:val="center"/>
          </w:tcPr>
          <w:p w14:paraId="50EACB59">
            <w:pPr>
              <w:widowControl/>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评标项目</w:t>
            </w:r>
          </w:p>
        </w:tc>
        <w:tc>
          <w:tcPr>
            <w:tcW w:w="709" w:type="dxa"/>
            <w:noWrap w:val="0"/>
            <w:vAlign w:val="center"/>
          </w:tcPr>
          <w:p w14:paraId="4CE76B63">
            <w:pPr>
              <w:widowControl/>
              <w:ind w:left="-80" w:leftChars="-38" w:right="-107" w:rightChars="-51"/>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分值</w:t>
            </w:r>
          </w:p>
        </w:tc>
        <w:tc>
          <w:tcPr>
            <w:tcW w:w="6284" w:type="dxa"/>
            <w:noWrap w:val="0"/>
            <w:vAlign w:val="center"/>
          </w:tcPr>
          <w:p w14:paraId="420416CC">
            <w:pPr>
              <w:widowControl/>
              <w:spacing w:line="440" w:lineRule="exact"/>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评标标准</w:t>
            </w:r>
          </w:p>
        </w:tc>
      </w:tr>
      <w:tr w14:paraId="25CE1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2E087321">
            <w:pPr>
              <w:widowControl/>
              <w:ind w:left="-90" w:leftChars="-43" w:right="-103" w:rightChars="-49"/>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1</w:t>
            </w:r>
          </w:p>
        </w:tc>
        <w:tc>
          <w:tcPr>
            <w:tcW w:w="1518" w:type="dxa"/>
            <w:noWrap w:val="0"/>
            <w:vAlign w:val="center"/>
          </w:tcPr>
          <w:p w14:paraId="490F7498">
            <w:pPr>
              <w:widowControl/>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投标报价</w:t>
            </w:r>
          </w:p>
        </w:tc>
        <w:tc>
          <w:tcPr>
            <w:tcW w:w="709" w:type="dxa"/>
            <w:noWrap w:val="0"/>
            <w:vAlign w:val="center"/>
          </w:tcPr>
          <w:p w14:paraId="009405DA">
            <w:pPr>
              <w:widowControl/>
              <w:ind w:left="-80" w:leftChars="-38" w:right="-107" w:rightChars="-51"/>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50</w:t>
            </w:r>
          </w:p>
        </w:tc>
        <w:tc>
          <w:tcPr>
            <w:tcW w:w="6284" w:type="dxa"/>
            <w:noWrap w:val="0"/>
            <w:vAlign w:val="center"/>
          </w:tcPr>
          <w:p w14:paraId="2D0A9D3C">
            <w:pPr>
              <w:spacing w:line="500" w:lineRule="exact"/>
              <w:ind w:firstLine="480" w:firstLineChars="200"/>
              <w:rPr>
                <w:rFonts w:hint="default" w:ascii="Times New Roman" w:hAnsi="Times New Roman" w:cs="Times New Roman"/>
                <w:b w:val="0"/>
                <w:bCs/>
                <w:kern w:val="0"/>
                <w:sz w:val="24"/>
              </w:rPr>
            </w:pPr>
            <w:r>
              <w:rPr>
                <w:rFonts w:hint="default" w:ascii="Times New Roman" w:hAnsi="Times New Roman" w:cs="Times New Roman"/>
                <w:b w:val="0"/>
                <w:bCs/>
                <w:kern w:val="0"/>
                <w:sz w:val="24"/>
              </w:rPr>
              <w:t>满足招标文件实质性要求且投标报价最低的报价为评标基准价，其价格分为满分。其他供应商的价格分统一按照下列公式计算：投标报价得分=（评标基准价/投标报价）×50，小数点后保留2位。</w:t>
            </w:r>
          </w:p>
        </w:tc>
      </w:tr>
      <w:tr w14:paraId="6B22A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6251985B">
            <w:pPr>
              <w:widowControl/>
              <w:ind w:left="-90" w:leftChars="-43" w:right="-103" w:rightChars="-49"/>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2</w:t>
            </w:r>
          </w:p>
        </w:tc>
        <w:tc>
          <w:tcPr>
            <w:tcW w:w="1518" w:type="dxa"/>
            <w:noWrap w:val="0"/>
            <w:vAlign w:val="center"/>
          </w:tcPr>
          <w:p w14:paraId="7D9157E9">
            <w:pPr>
              <w:widowControl/>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质量控制措施方案</w:t>
            </w:r>
          </w:p>
        </w:tc>
        <w:tc>
          <w:tcPr>
            <w:tcW w:w="709" w:type="dxa"/>
            <w:noWrap w:val="0"/>
            <w:vAlign w:val="center"/>
          </w:tcPr>
          <w:p w14:paraId="78AE3516">
            <w:pPr>
              <w:widowControl/>
              <w:ind w:left="-80" w:leftChars="-38" w:right="-107" w:rightChars="-51"/>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6</w:t>
            </w:r>
          </w:p>
        </w:tc>
        <w:tc>
          <w:tcPr>
            <w:tcW w:w="6284" w:type="dxa"/>
            <w:noWrap w:val="0"/>
            <w:vAlign w:val="center"/>
          </w:tcPr>
          <w:p w14:paraId="21E060F4">
            <w:pPr>
              <w:spacing w:line="500" w:lineRule="exact"/>
              <w:ind w:firstLine="480" w:firstLineChars="200"/>
              <w:rPr>
                <w:rFonts w:hint="default" w:ascii="Times New Roman" w:hAnsi="Times New Roman" w:cs="Times New Roman"/>
                <w:b w:val="0"/>
                <w:bCs/>
                <w:kern w:val="0"/>
                <w:sz w:val="24"/>
              </w:rPr>
            </w:pPr>
            <w:r>
              <w:rPr>
                <w:rFonts w:hint="default" w:ascii="Times New Roman" w:hAnsi="Times New Roman" w:cs="Times New Roman"/>
                <w:b w:val="0"/>
                <w:bCs/>
                <w:kern w:val="0"/>
                <w:sz w:val="24"/>
              </w:rPr>
              <w:t>根据响应文件中提供的质量控制措施方案进行评审：质量控制措施内容完整、可行、符合项目实际情况的，得6分；内容存在缺漏但不影响项目主体内容的，得4分；提供方案但内容与项目实际情况不相符的，得2分；未提供，不得分。</w:t>
            </w:r>
          </w:p>
        </w:tc>
      </w:tr>
      <w:tr w14:paraId="7C440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6474B4E5">
            <w:pPr>
              <w:widowControl/>
              <w:ind w:left="-90" w:leftChars="-43" w:right="-103" w:rightChars="-49"/>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3</w:t>
            </w:r>
          </w:p>
        </w:tc>
        <w:tc>
          <w:tcPr>
            <w:tcW w:w="1518" w:type="dxa"/>
            <w:noWrap w:val="0"/>
            <w:vAlign w:val="center"/>
          </w:tcPr>
          <w:p w14:paraId="4C22D4CE">
            <w:pPr>
              <w:widowControl/>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进度控制措施方案</w:t>
            </w:r>
          </w:p>
        </w:tc>
        <w:tc>
          <w:tcPr>
            <w:tcW w:w="709" w:type="dxa"/>
            <w:noWrap w:val="0"/>
            <w:vAlign w:val="center"/>
          </w:tcPr>
          <w:p w14:paraId="4C746F15">
            <w:pPr>
              <w:widowControl/>
              <w:ind w:left="-80" w:leftChars="-38" w:right="-107" w:rightChars="-51"/>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6</w:t>
            </w:r>
          </w:p>
        </w:tc>
        <w:tc>
          <w:tcPr>
            <w:tcW w:w="6284" w:type="dxa"/>
            <w:noWrap w:val="0"/>
            <w:vAlign w:val="center"/>
          </w:tcPr>
          <w:p w14:paraId="0EC3C588">
            <w:pPr>
              <w:spacing w:line="500" w:lineRule="exact"/>
              <w:ind w:firstLine="480" w:firstLineChars="200"/>
              <w:rPr>
                <w:rFonts w:hint="default" w:ascii="Times New Roman" w:hAnsi="Times New Roman" w:cs="Times New Roman"/>
                <w:b w:val="0"/>
                <w:bCs/>
                <w:kern w:val="0"/>
                <w:sz w:val="24"/>
              </w:rPr>
            </w:pPr>
            <w:r>
              <w:rPr>
                <w:rFonts w:hint="default" w:ascii="Times New Roman" w:hAnsi="Times New Roman" w:cs="Times New Roman"/>
                <w:b w:val="0"/>
                <w:bCs/>
                <w:kern w:val="0"/>
                <w:sz w:val="24"/>
              </w:rPr>
              <w:t>根据响应文件中提供的进度控制措施方案进行评审：进度控制措施内容完整、可行、符合项目实际情况的，得6分；内容存在缺漏但不影响项目主体内容的，得4分；提供方案但内容与项目实际情况不相符的，得2分；未提供不得分。</w:t>
            </w:r>
          </w:p>
        </w:tc>
      </w:tr>
      <w:tr w14:paraId="5D301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601CB65F">
            <w:pPr>
              <w:widowControl/>
              <w:ind w:left="-90" w:leftChars="-43" w:right="-103" w:rightChars="-49"/>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4</w:t>
            </w:r>
          </w:p>
        </w:tc>
        <w:tc>
          <w:tcPr>
            <w:tcW w:w="1518" w:type="dxa"/>
            <w:noWrap w:val="0"/>
            <w:vAlign w:val="center"/>
          </w:tcPr>
          <w:p w14:paraId="3D8F35AA">
            <w:pPr>
              <w:widowControl/>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应急方案</w:t>
            </w:r>
          </w:p>
        </w:tc>
        <w:tc>
          <w:tcPr>
            <w:tcW w:w="709" w:type="dxa"/>
            <w:noWrap w:val="0"/>
            <w:vAlign w:val="center"/>
          </w:tcPr>
          <w:p w14:paraId="044564F8">
            <w:pPr>
              <w:widowControl/>
              <w:ind w:left="-109" w:leftChars="-52" w:right="-105" w:rightChars="-50"/>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6</w:t>
            </w:r>
          </w:p>
        </w:tc>
        <w:tc>
          <w:tcPr>
            <w:tcW w:w="6284" w:type="dxa"/>
            <w:noWrap w:val="0"/>
            <w:vAlign w:val="center"/>
          </w:tcPr>
          <w:p w14:paraId="7D0ACBEB">
            <w:pPr>
              <w:spacing w:line="480" w:lineRule="exact"/>
              <w:ind w:firstLine="480" w:firstLineChars="200"/>
              <w:rPr>
                <w:rFonts w:hint="default" w:ascii="Times New Roman" w:hAnsi="Times New Roman" w:cs="Times New Roman"/>
                <w:b w:val="0"/>
                <w:bCs/>
                <w:sz w:val="24"/>
                <w:szCs w:val="24"/>
              </w:rPr>
            </w:pPr>
            <w:r>
              <w:rPr>
                <w:rFonts w:hint="default" w:ascii="Times New Roman" w:hAnsi="Times New Roman" w:cs="Times New Roman"/>
                <w:b w:val="0"/>
                <w:bCs/>
                <w:sz w:val="24"/>
                <w:szCs w:val="24"/>
              </w:rPr>
              <w:t>根据响应文件中提供的应急方案进行评审：应急方案内容完整、可行、符合项目实际情况的，得6分；内容存在缺漏但不影响项目主体内容的，得4分；提供方案但内容与项目实际情况不相符的得2分；未提供不得分。</w:t>
            </w:r>
          </w:p>
        </w:tc>
      </w:tr>
      <w:tr w14:paraId="72655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7A5EC71F">
            <w:pPr>
              <w:widowControl/>
              <w:ind w:left="-90" w:leftChars="-43" w:right="-103" w:rightChars="-49"/>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5</w:t>
            </w:r>
          </w:p>
        </w:tc>
        <w:tc>
          <w:tcPr>
            <w:tcW w:w="1518" w:type="dxa"/>
            <w:noWrap w:val="0"/>
            <w:vAlign w:val="center"/>
          </w:tcPr>
          <w:p w14:paraId="3E5ED754">
            <w:pPr>
              <w:widowControl/>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质量保证方案</w:t>
            </w:r>
          </w:p>
        </w:tc>
        <w:tc>
          <w:tcPr>
            <w:tcW w:w="709" w:type="dxa"/>
            <w:noWrap w:val="0"/>
            <w:vAlign w:val="center"/>
          </w:tcPr>
          <w:p w14:paraId="217B9B39">
            <w:pPr>
              <w:widowControl/>
              <w:ind w:left="-109" w:leftChars="-52" w:right="-105" w:rightChars="-50"/>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8</w:t>
            </w:r>
          </w:p>
        </w:tc>
        <w:tc>
          <w:tcPr>
            <w:tcW w:w="6284" w:type="dxa"/>
            <w:noWrap w:val="0"/>
            <w:vAlign w:val="center"/>
          </w:tcPr>
          <w:p w14:paraId="48DA895E">
            <w:pPr>
              <w:spacing w:line="480" w:lineRule="exact"/>
              <w:ind w:firstLine="480" w:firstLineChars="200"/>
              <w:rPr>
                <w:rFonts w:hint="default" w:ascii="Times New Roman" w:hAnsi="Times New Roman" w:cs="Times New Roman"/>
                <w:b w:val="0"/>
                <w:bCs/>
                <w:sz w:val="24"/>
                <w:szCs w:val="24"/>
              </w:rPr>
            </w:pPr>
            <w:r>
              <w:rPr>
                <w:rFonts w:hint="default" w:ascii="Times New Roman" w:hAnsi="Times New Roman" w:cs="Times New Roman"/>
                <w:b w:val="0"/>
                <w:bCs/>
                <w:sz w:val="24"/>
                <w:szCs w:val="24"/>
              </w:rPr>
              <w:t>根据响应文件中提供的质量保证方案进行评审：内容详细完整、科学合理、针对性强、符合项目需求得8分；方案内容较详细，基本可行的得5分；方案内容不够详细，操作实施不合理得2分；不提供不得分。</w:t>
            </w:r>
          </w:p>
        </w:tc>
      </w:tr>
      <w:tr w14:paraId="26AF3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009E4E83">
            <w:pPr>
              <w:widowControl/>
              <w:ind w:left="-90" w:leftChars="-43" w:right="-103" w:rightChars="-49"/>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6</w:t>
            </w:r>
          </w:p>
        </w:tc>
        <w:tc>
          <w:tcPr>
            <w:tcW w:w="1518" w:type="dxa"/>
            <w:noWrap w:val="0"/>
            <w:vAlign w:val="center"/>
          </w:tcPr>
          <w:p w14:paraId="041B1308">
            <w:pPr>
              <w:widowControl/>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供货进度方案</w:t>
            </w:r>
          </w:p>
        </w:tc>
        <w:tc>
          <w:tcPr>
            <w:tcW w:w="709" w:type="dxa"/>
            <w:noWrap w:val="0"/>
            <w:vAlign w:val="center"/>
          </w:tcPr>
          <w:p w14:paraId="7A37BDC7">
            <w:pPr>
              <w:widowControl/>
              <w:ind w:left="-109" w:leftChars="-52" w:right="-105" w:rightChars="-50"/>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8</w:t>
            </w:r>
          </w:p>
        </w:tc>
        <w:tc>
          <w:tcPr>
            <w:tcW w:w="6284" w:type="dxa"/>
            <w:noWrap w:val="0"/>
            <w:vAlign w:val="center"/>
          </w:tcPr>
          <w:p w14:paraId="694EF5D9">
            <w:pPr>
              <w:spacing w:line="480" w:lineRule="exact"/>
              <w:ind w:firstLine="480" w:firstLineChars="200"/>
              <w:rPr>
                <w:rFonts w:hint="default" w:ascii="Times New Roman" w:hAnsi="Times New Roman" w:cs="Times New Roman"/>
                <w:b w:val="0"/>
                <w:bCs/>
                <w:sz w:val="24"/>
                <w:szCs w:val="24"/>
              </w:rPr>
            </w:pPr>
            <w:r>
              <w:rPr>
                <w:rFonts w:hint="default" w:ascii="Times New Roman" w:hAnsi="Times New Roman" w:cs="Times New Roman"/>
                <w:b w:val="0"/>
                <w:bCs/>
                <w:sz w:val="24"/>
                <w:szCs w:val="24"/>
              </w:rPr>
              <w:t>根据响应文件中提供的供货进度方案进行评审：内容详细完整、科学合理、针对性强、符合项目需求得8分；方案内容较详细，基本可行的得5分；方案内容不够详细，操作实施不合理得2分；不提供不得分。</w:t>
            </w:r>
          </w:p>
        </w:tc>
      </w:tr>
      <w:tr w14:paraId="4EFAE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675D06D8">
            <w:pPr>
              <w:widowControl/>
              <w:ind w:left="-90" w:leftChars="-43" w:right="-103" w:rightChars="-49"/>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7</w:t>
            </w:r>
          </w:p>
        </w:tc>
        <w:tc>
          <w:tcPr>
            <w:tcW w:w="1518" w:type="dxa"/>
            <w:noWrap w:val="0"/>
            <w:vAlign w:val="center"/>
          </w:tcPr>
          <w:p w14:paraId="6DCBEED2">
            <w:pPr>
              <w:widowControl/>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售后服务方案</w:t>
            </w:r>
          </w:p>
        </w:tc>
        <w:tc>
          <w:tcPr>
            <w:tcW w:w="709" w:type="dxa"/>
            <w:noWrap w:val="0"/>
            <w:vAlign w:val="center"/>
          </w:tcPr>
          <w:p w14:paraId="358C1125">
            <w:pPr>
              <w:widowControl/>
              <w:ind w:left="-109" w:leftChars="-52" w:right="-105" w:rightChars="-50"/>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8</w:t>
            </w:r>
          </w:p>
        </w:tc>
        <w:tc>
          <w:tcPr>
            <w:tcW w:w="6284" w:type="dxa"/>
            <w:noWrap w:val="0"/>
            <w:vAlign w:val="center"/>
          </w:tcPr>
          <w:p w14:paraId="207EEAC6">
            <w:pPr>
              <w:spacing w:line="480" w:lineRule="exact"/>
              <w:ind w:firstLine="480" w:firstLineChars="200"/>
              <w:rPr>
                <w:rFonts w:hint="default" w:ascii="Times New Roman" w:hAnsi="Times New Roman" w:cs="Times New Roman"/>
                <w:b w:val="0"/>
                <w:bCs/>
                <w:sz w:val="24"/>
                <w:szCs w:val="24"/>
              </w:rPr>
            </w:pPr>
            <w:r>
              <w:rPr>
                <w:rFonts w:hint="default" w:ascii="Times New Roman" w:hAnsi="Times New Roman" w:cs="Times New Roman"/>
                <w:b w:val="0"/>
                <w:bCs/>
                <w:sz w:val="24"/>
                <w:szCs w:val="24"/>
              </w:rPr>
              <w:t>根据供应商售后服务方案，包括但不限于售后服务人员配置、服务响应时间、技术服务期限、持续性服务方案内容等：具有完善具体可行的售后服务方案，售后服务便捷、响应速度快，各阶段服务方案详尽，满足采购人需求，得8分；有提供售后服务方案，且有一定的可行性，售后服务较便捷，响应及时，各阶段服务方案完整，基本满足采购人需求的，得5分；有提供售后服务方案，但可行性不强，售后服务内容及各阶段服务计划完整性有缺漏的，得2 分。若方案有明显缺陷或不可实施则不得分。</w:t>
            </w:r>
          </w:p>
        </w:tc>
      </w:tr>
      <w:tr w14:paraId="08413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2AB45729">
            <w:pPr>
              <w:widowControl/>
              <w:ind w:left="-90" w:leftChars="-43" w:right="-103" w:rightChars="-49"/>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8</w:t>
            </w:r>
          </w:p>
        </w:tc>
        <w:tc>
          <w:tcPr>
            <w:tcW w:w="1518" w:type="dxa"/>
            <w:noWrap w:val="0"/>
            <w:vAlign w:val="center"/>
          </w:tcPr>
          <w:p w14:paraId="5E35834F">
            <w:pPr>
              <w:widowControl/>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履约能力方案</w:t>
            </w:r>
          </w:p>
        </w:tc>
        <w:tc>
          <w:tcPr>
            <w:tcW w:w="709" w:type="dxa"/>
            <w:noWrap w:val="0"/>
            <w:vAlign w:val="center"/>
          </w:tcPr>
          <w:p w14:paraId="57DE32E4">
            <w:pPr>
              <w:widowControl/>
              <w:ind w:left="-109" w:leftChars="-52" w:right="-105" w:rightChars="-50"/>
              <w:jc w:val="center"/>
              <w:rPr>
                <w:rFonts w:hint="default" w:ascii="Times New Roman" w:hAnsi="Times New Roman" w:cs="Times New Roman"/>
                <w:b w:val="0"/>
                <w:bCs/>
                <w:kern w:val="0"/>
                <w:sz w:val="24"/>
              </w:rPr>
            </w:pPr>
            <w:r>
              <w:rPr>
                <w:rFonts w:hint="default" w:ascii="Times New Roman" w:hAnsi="Times New Roman" w:cs="Times New Roman"/>
                <w:b w:val="0"/>
                <w:bCs/>
                <w:kern w:val="0"/>
                <w:sz w:val="24"/>
              </w:rPr>
              <w:t>8</w:t>
            </w:r>
          </w:p>
        </w:tc>
        <w:tc>
          <w:tcPr>
            <w:tcW w:w="6284" w:type="dxa"/>
            <w:noWrap w:val="0"/>
            <w:vAlign w:val="center"/>
          </w:tcPr>
          <w:p w14:paraId="4095A989">
            <w:pPr>
              <w:spacing w:line="480" w:lineRule="exact"/>
              <w:ind w:firstLine="480" w:firstLineChars="200"/>
              <w:rPr>
                <w:rFonts w:hint="default" w:ascii="Times New Roman" w:hAnsi="Times New Roman" w:cs="Times New Roman"/>
                <w:b w:val="0"/>
                <w:bCs/>
                <w:sz w:val="24"/>
                <w:szCs w:val="24"/>
              </w:rPr>
            </w:pPr>
            <w:r>
              <w:rPr>
                <w:rFonts w:hint="default" w:ascii="Times New Roman" w:hAnsi="Times New Roman" w:cs="Times New Roman"/>
                <w:b w:val="0"/>
                <w:bCs/>
                <w:sz w:val="24"/>
                <w:szCs w:val="24"/>
              </w:rPr>
              <w:t>根据供应商提供的履约能力方案进行评审：方案内容完整、具体详细、合理可行得8分；方案内容较完整、具体、有一定可行性得5分；方案内容缺项、可行性不高得2分；不提供不得分。</w:t>
            </w:r>
          </w:p>
        </w:tc>
      </w:tr>
    </w:tbl>
    <w:p w14:paraId="7EBD58B6">
      <w:pPr>
        <w:pStyle w:val="2"/>
        <w:rPr>
          <w:rFonts w:hint="default" w:ascii="Times New Roman" w:hAnsi="Times New Roman" w:cs="Times New Roman"/>
        </w:rPr>
      </w:pPr>
    </w:p>
    <w:p w14:paraId="38F292B0">
      <w:pPr>
        <w:spacing w:line="500" w:lineRule="exact"/>
        <w:ind w:firstLine="482"/>
        <w:rPr>
          <w:rFonts w:hint="default" w:ascii="Times New Roman" w:hAnsi="Times New Roman" w:cs="Times New Roman"/>
          <w:b w:val="0"/>
          <w:bCs w:val="0"/>
          <w:sz w:val="24"/>
        </w:rPr>
      </w:pPr>
      <w:r>
        <w:rPr>
          <w:rFonts w:hint="default" w:ascii="Times New Roman" w:hAnsi="Times New Roman" w:cs="Times New Roman"/>
          <w:b w:val="0"/>
          <w:bCs w:val="0"/>
          <w:sz w:val="24"/>
        </w:rPr>
        <w:t>备注：1、</w:t>
      </w:r>
      <w:r>
        <w:rPr>
          <w:rFonts w:hint="default" w:ascii="Times New Roman" w:hAnsi="Times New Roman" w:cs="Times New Roman"/>
          <w:b w:val="0"/>
          <w:bCs w:val="0"/>
          <w:sz w:val="24"/>
          <w:szCs w:val="24"/>
        </w:rPr>
        <w:t>以上评分涉及到的证明文件须清晰可见相关内容，否则视为未提交。</w:t>
      </w:r>
    </w:p>
    <w:p w14:paraId="4C8B960E">
      <w:pPr>
        <w:spacing w:line="500" w:lineRule="exact"/>
        <w:ind w:firstLine="1246"/>
        <w:rPr>
          <w:rFonts w:hint="default" w:ascii="Times New Roman" w:hAnsi="Times New Roman" w:cs="Times New Roman"/>
          <w:b w:val="0"/>
          <w:bCs w:val="0"/>
          <w:sz w:val="24"/>
        </w:rPr>
      </w:pPr>
      <w:r>
        <w:rPr>
          <w:rFonts w:hint="default" w:ascii="Times New Roman" w:hAnsi="Times New Roman" w:cs="Times New Roman"/>
          <w:b w:val="0"/>
          <w:bCs w:val="0"/>
          <w:sz w:val="24"/>
        </w:rPr>
        <w:t>2、非中文版证明资料需同时提供中文翻译文件；</w:t>
      </w:r>
    </w:p>
    <w:p w14:paraId="5FF6BAA7">
      <w:pPr>
        <w:spacing w:line="500" w:lineRule="exact"/>
        <w:ind w:firstLine="1246"/>
        <w:rPr>
          <w:rFonts w:hint="default" w:ascii="Times New Roman" w:hAnsi="Times New Roman" w:cs="Times New Roman"/>
          <w:b w:val="0"/>
          <w:bCs w:val="0"/>
          <w:sz w:val="24"/>
        </w:rPr>
      </w:pPr>
      <w:r>
        <w:rPr>
          <w:rFonts w:hint="default" w:ascii="Times New Roman" w:hAnsi="Times New Roman" w:cs="Times New Roman"/>
          <w:b w:val="0"/>
          <w:bCs w:val="0"/>
          <w:sz w:val="24"/>
        </w:rPr>
        <w:t>3、以上评分中出现无证明资料或评委会无法凭所提供资料判断是否得分的情况，一律作不得分处理。</w:t>
      </w:r>
    </w:p>
    <w:p w14:paraId="3F06DC79">
      <w:pPr>
        <w:spacing w:line="500" w:lineRule="exact"/>
        <w:ind w:firstLine="1246"/>
        <w:rPr>
          <w:rFonts w:hint="default" w:ascii="Times New Roman" w:hAnsi="Times New Roman" w:cs="Times New Roman"/>
          <w:b w:val="0"/>
          <w:bCs w:val="0"/>
          <w:sz w:val="24"/>
        </w:rPr>
      </w:pPr>
      <w:r>
        <w:rPr>
          <w:rFonts w:hint="default" w:ascii="Times New Roman" w:hAnsi="Times New Roman" w:cs="Times New Roman"/>
          <w:b w:val="0"/>
          <w:bCs w:val="0"/>
          <w:sz w:val="24"/>
        </w:rPr>
        <w:t>4、本项目采购进口产品，不执行价格评审优惠扶持政策。</w:t>
      </w:r>
    </w:p>
    <w:p w14:paraId="1E37B9A0">
      <w:pPr>
        <w:pStyle w:val="221"/>
        <w:spacing w:line="520" w:lineRule="exact"/>
        <w:ind w:firstLine="542"/>
        <w:rPr>
          <w:rFonts w:hint="default" w:ascii="Times New Roman" w:hAnsi="Times New Roman" w:cs="Times New Roman"/>
          <w:b/>
          <w:sz w:val="24"/>
          <w:szCs w:val="24"/>
        </w:rPr>
      </w:pPr>
      <w:r>
        <w:rPr>
          <w:rFonts w:hint="default" w:ascii="Times New Roman" w:hAnsi="Times New Roman" w:cs="Times New Roman"/>
          <w:b/>
          <w:sz w:val="24"/>
          <w:szCs w:val="24"/>
        </w:rPr>
        <w:t>三. 其他</w:t>
      </w:r>
    </w:p>
    <w:p w14:paraId="3CF43DC2">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1. 评委会成员根据评分情况及时将结果填入“评分表”中。</w:t>
      </w:r>
    </w:p>
    <w:p w14:paraId="264042D9">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2. 评委会成员将投标文件评价得分加总后，得出本次评标的最终得分。</w:t>
      </w:r>
    </w:p>
    <w:p w14:paraId="3A0E907B">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3. 项目评分时，分值</w:t>
      </w:r>
      <w:r>
        <w:rPr>
          <w:rFonts w:hint="default" w:ascii="Times New Roman" w:hAnsi="Times New Roman" w:cs="Times New Roman"/>
          <w:b/>
          <w:sz w:val="24"/>
          <w:szCs w:val="24"/>
        </w:rPr>
        <w:t>精确到小数点后两位</w:t>
      </w:r>
      <w:r>
        <w:rPr>
          <w:rFonts w:hint="default" w:ascii="Times New Roman" w:hAnsi="Times New Roman" w:cs="Times New Roman"/>
          <w:sz w:val="24"/>
          <w:szCs w:val="24"/>
        </w:rPr>
        <w:t>。</w:t>
      </w:r>
    </w:p>
    <w:p w14:paraId="434AF971">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4. 供应商的最后得分为评委会成员所评</w:t>
      </w:r>
      <w:r>
        <w:rPr>
          <w:rFonts w:hint="default" w:ascii="Times New Roman" w:hAnsi="Times New Roman" w:cs="Times New Roman"/>
          <w:b/>
          <w:sz w:val="24"/>
          <w:szCs w:val="24"/>
        </w:rPr>
        <w:t>分数的总分值</w:t>
      </w:r>
      <w:r>
        <w:rPr>
          <w:rFonts w:hint="default" w:ascii="Times New Roman" w:hAnsi="Times New Roman" w:cs="Times New Roman"/>
          <w:sz w:val="24"/>
          <w:szCs w:val="24"/>
        </w:rPr>
        <w:t>。</w:t>
      </w:r>
    </w:p>
    <w:p w14:paraId="5110DB25">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5. 经评委会成员审查，得分按由高到低排列，确定1</w:t>
      </w:r>
      <w:r>
        <w:rPr>
          <w:rFonts w:hint="default" w:ascii="Times New Roman" w:hAnsi="Times New Roman" w:cs="Times New Roman"/>
          <w:sz w:val="24"/>
        </w:rPr>
        <w:t>名中标供应商</w:t>
      </w:r>
      <w:r>
        <w:rPr>
          <w:rFonts w:hint="default" w:ascii="Times New Roman" w:hAnsi="Times New Roman" w:cs="Times New Roman"/>
          <w:sz w:val="24"/>
          <w:szCs w:val="24"/>
        </w:rPr>
        <w:t>。</w:t>
      </w:r>
    </w:p>
    <w:p w14:paraId="205DF720">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6. 评委会成员没有向供应商解释评标过程的义务。</w:t>
      </w:r>
    </w:p>
    <w:p w14:paraId="4ECA09B8">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7. 本规则的解释权在江苏省体育装备中心。</w:t>
      </w:r>
    </w:p>
    <w:p w14:paraId="10A77D82">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8. 遇到本规则未能考虑到的问题，由评委会成员会同采购人协商决定。</w:t>
      </w:r>
    </w:p>
    <w:p w14:paraId="426EDB22">
      <w:pPr>
        <w:pStyle w:val="187"/>
        <w:rPr>
          <w:rFonts w:hint="default" w:ascii="Times New Roman" w:hAnsi="Times New Roman" w:eastAsia="黑体" w:cs="Times New Roman"/>
          <w:bCs/>
          <w:sz w:val="44"/>
        </w:rPr>
      </w:pPr>
      <w:r>
        <w:rPr>
          <w:rFonts w:hint="default" w:ascii="Times New Roman" w:hAnsi="Times New Roman" w:eastAsia="黑体" w:cs="Times New Roman"/>
          <w:bCs/>
          <w:sz w:val="44"/>
        </w:rPr>
        <w:br w:type="page" w:clear="all"/>
      </w:r>
      <w:bookmarkStart w:id="196" w:name="_Toc475009301"/>
      <w:bookmarkStart w:id="197" w:name="_Toc511899517"/>
      <w:bookmarkStart w:id="198" w:name="_Toc121905580"/>
      <w:bookmarkStart w:id="199" w:name="_Toc481072017"/>
      <w:bookmarkStart w:id="200" w:name="_Toc481071971"/>
      <w:r>
        <w:rPr>
          <w:rFonts w:hint="default" w:ascii="Times New Roman" w:hAnsi="Times New Roman" w:eastAsia="黑体" w:cs="Times New Roman"/>
          <w:bCs/>
          <w:sz w:val="44"/>
        </w:rPr>
        <w:t>第六章  投标文件格式</w:t>
      </w:r>
      <w:bookmarkEnd w:id="196"/>
      <w:bookmarkEnd w:id="197"/>
      <w:bookmarkEnd w:id="198"/>
      <w:bookmarkEnd w:id="199"/>
      <w:bookmarkEnd w:id="200"/>
    </w:p>
    <w:p w14:paraId="0B2D4246">
      <w:pPr>
        <w:spacing w:line="440" w:lineRule="exact"/>
        <w:rPr>
          <w:rFonts w:hint="default" w:ascii="Times New Roman" w:hAnsi="Times New Roman" w:cs="Times New Roman"/>
        </w:rPr>
      </w:pPr>
    </w:p>
    <w:bookmarkEnd w:id="178"/>
    <w:bookmarkEnd w:id="179"/>
    <w:bookmarkEnd w:id="189"/>
    <w:bookmarkEnd w:id="190"/>
    <w:bookmarkEnd w:id="191"/>
    <w:bookmarkEnd w:id="192"/>
    <w:bookmarkEnd w:id="193"/>
    <w:bookmarkEnd w:id="194"/>
    <w:bookmarkEnd w:id="195"/>
    <w:p w14:paraId="4BAC57BD">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说明：</w:t>
      </w:r>
    </w:p>
    <w:p w14:paraId="0206585E">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凡招标文件中已提供投标文件格式的内容，供应商应按招标文件提供的格式填写，不准有空项；无相应内容可填的项应填写“无”、“未测试”或“没有相应指标”等明确的回答文字。其余未提供格式的内容由供应商自行设计编写，但不得造成与本招标文件内容有实质性的违背。</w:t>
      </w:r>
    </w:p>
    <w:p w14:paraId="0033E63C">
      <w:pPr>
        <w:jc w:val="center"/>
        <w:rPr>
          <w:rFonts w:hint="default" w:ascii="Times New Roman" w:hAnsi="Times New Roman" w:eastAsia="黑体" w:cs="Times New Roman"/>
          <w:b/>
          <w:bCs/>
          <w:sz w:val="36"/>
        </w:rPr>
      </w:pPr>
    </w:p>
    <w:p w14:paraId="14D44B07">
      <w:pPr>
        <w:jc w:val="center"/>
        <w:rPr>
          <w:rFonts w:hint="default" w:ascii="Times New Roman" w:hAnsi="Times New Roman" w:eastAsia="黑体" w:cs="Times New Roman"/>
          <w:b/>
          <w:sz w:val="72"/>
        </w:rPr>
      </w:pPr>
      <w:r>
        <w:rPr>
          <w:rFonts w:hint="default" w:ascii="Times New Roman" w:hAnsi="Times New Roman" w:eastAsia="黑体" w:cs="Times New Roman"/>
          <w:b/>
          <w:bCs/>
          <w:sz w:val="36"/>
        </w:rPr>
        <w:br w:type="page" w:clear="all"/>
      </w:r>
      <w:r>
        <w:rPr>
          <w:rFonts w:hint="default" w:ascii="Times New Roman" w:hAnsi="Times New Roman" w:eastAsia="黑体" w:cs="Times New Roman"/>
          <w:b/>
          <w:sz w:val="72"/>
        </w:rPr>
        <w:t>投  标  文  件</w:t>
      </w:r>
    </w:p>
    <w:p w14:paraId="1A46A6D3">
      <w:pPr>
        <w:jc w:val="center"/>
        <w:rPr>
          <w:rFonts w:hint="default" w:ascii="Times New Roman" w:hAnsi="Times New Roman" w:cs="Times New Roman"/>
          <w:b/>
          <w:sz w:val="72"/>
        </w:rPr>
      </w:pPr>
    </w:p>
    <w:p w14:paraId="2E0658BC">
      <w:pPr>
        <w:jc w:val="center"/>
        <w:rPr>
          <w:rFonts w:hint="default" w:ascii="Times New Roman" w:hAnsi="Times New Roman" w:eastAsia="楷体_GB2312" w:cs="Times New Roman"/>
          <w:sz w:val="44"/>
          <w:szCs w:val="44"/>
        </w:rPr>
      </w:pPr>
      <w:r>
        <w:rPr>
          <w:rFonts w:hint="default" w:ascii="Times New Roman" w:hAnsi="Times New Roman" w:eastAsia="楷体_GB2312" w:cs="Times New Roman"/>
          <w:sz w:val="44"/>
          <w:szCs w:val="44"/>
        </w:rPr>
        <w:t>【正/副本】</w:t>
      </w:r>
    </w:p>
    <w:p w14:paraId="76430785">
      <w:pPr>
        <w:jc w:val="center"/>
        <w:rPr>
          <w:rFonts w:hint="default" w:ascii="Times New Roman" w:hAnsi="Times New Roman" w:cs="Times New Roman"/>
          <w:b/>
          <w:sz w:val="36"/>
        </w:rPr>
      </w:pPr>
    </w:p>
    <w:p w14:paraId="3D98E71D">
      <w:pPr>
        <w:jc w:val="center"/>
        <w:rPr>
          <w:rFonts w:hint="default" w:ascii="Times New Roman" w:hAnsi="Times New Roman" w:cs="Times New Roman"/>
          <w:b/>
          <w:sz w:val="36"/>
        </w:rPr>
      </w:pPr>
    </w:p>
    <w:p w14:paraId="0A4BB124">
      <w:pPr>
        <w:rPr>
          <w:rFonts w:hint="default" w:ascii="Times New Roman" w:hAnsi="Times New Roman" w:cs="Times New Roman"/>
          <w:b/>
          <w:sz w:val="36"/>
        </w:rPr>
      </w:pPr>
    </w:p>
    <w:p w14:paraId="5AAA5056">
      <w:pPr>
        <w:ind w:firstLine="1084"/>
        <w:rPr>
          <w:rFonts w:hint="default" w:ascii="Times New Roman" w:hAnsi="Times New Roman" w:cs="Times New Roman"/>
          <w:b/>
          <w:sz w:val="36"/>
        </w:rPr>
      </w:pPr>
      <w:r>
        <w:rPr>
          <w:rFonts w:hint="default" w:ascii="Times New Roman" w:hAnsi="Times New Roman" w:cs="Times New Roman"/>
          <w:b/>
          <w:sz w:val="36"/>
        </w:rPr>
        <w:t>项 目 名 称：</w:t>
      </w:r>
      <w:r>
        <w:rPr>
          <w:rFonts w:hint="default" w:ascii="Times New Roman" w:hAnsi="Times New Roman" w:cs="Times New Roman"/>
          <w:b/>
          <w:sz w:val="36"/>
          <w:u w:val="single"/>
        </w:rPr>
        <w:t xml:space="preserve">                      </w:t>
      </w:r>
      <w:r>
        <w:rPr>
          <w:rFonts w:hint="default" w:ascii="Times New Roman" w:hAnsi="Times New Roman" w:cs="Times New Roman"/>
          <w:b/>
          <w:sz w:val="36"/>
        </w:rPr>
        <w:t xml:space="preserve">  </w:t>
      </w:r>
    </w:p>
    <w:p w14:paraId="6E714C7F">
      <w:pPr>
        <w:ind w:firstLine="1084"/>
        <w:rPr>
          <w:rFonts w:hint="default" w:ascii="Times New Roman" w:hAnsi="Times New Roman" w:cs="Times New Roman"/>
          <w:b/>
          <w:sz w:val="36"/>
        </w:rPr>
      </w:pPr>
    </w:p>
    <w:p w14:paraId="13F78C5D">
      <w:pPr>
        <w:ind w:firstLine="1084"/>
        <w:rPr>
          <w:rFonts w:hint="default" w:ascii="Times New Roman" w:hAnsi="Times New Roman" w:cs="Times New Roman"/>
          <w:b/>
          <w:sz w:val="36"/>
          <w:u w:val="single"/>
        </w:rPr>
      </w:pPr>
      <w:r>
        <w:rPr>
          <w:rFonts w:hint="default" w:ascii="Times New Roman" w:hAnsi="Times New Roman" w:cs="Times New Roman"/>
          <w:b/>
          <w:sz w:val="36"/>
        </w:rPr>
        <w:t>招 标 编 号：</w:t>
      </w:r>
      <w:r>
        <w:rPr>
          <w:rFonts w:hint="default" w:ascii="Times New Roman" w:hAnsi="Times New Roman" w:cs="Times New Roman"/>
          <w:b/>
          <w:sz w:val="36"/>
          <w:u w:val="single"/>
        </w:rPr>
        <w:t xml:space="preserve">                      </w:t>
      </w:r>
    </w:p>
    <w:p w14:paraId="3E24CF70">
      <w:pPr>
        <w:ind w:firstLine="1084"/>
        <w:rPr>
          <w:rFonts w:hint="default" w:ascii="Times New Roman" w:hAnsi="Times New Roman" w:cs="Times New Roman"/>
          <w:b/>
          <w:sz w:val="36"/>
          <w:u w:val="single"/>
        </w:rPr>
      </w:pPr>
    </w:p>
    <w:p w14:paraId="731BDD58">
      <w:pPr>
        <w:ind w:firstLine="1084"/>
        <w:rPr>
          <w:rFonts w:hint="default" w:ascii="Times New Roman" w:hAnsi="Times New Roman" w:cs="Times New Roman"/>
          <w:b/>
          <w:sz w:val="36"/>
          <w:u w:val="single"/>
        </w:rPr>
      </w:pPr>
      <w:r>
        <w:rPr>
          <w:rFonts w:hint="default" w:ascii="Times New Roman" w:hAnsi="Times New Roman" w:cs="Times New Roman"/>
          <w:b/>
          <w:sz w:val="36"/>
        </w:rPr>
        <w:t>供应商名称 ：</w:t>
      </w:r>
      <w:r>
        <w:rPr>
          <w:rFonts w:hint="default" w:ascii="Times New Roman" w:hAnsi="Times New Roman" w:cs="Times New Roman"/>
          <w:b/>
          <w:sz w:val="36"/>
          <w:u w:val="single"/>
        </w:rPr>
        <w:t xml:space="preserve">                      </w:t>
      </w:r>
    </w:p>
    <w:p w14:paraId="3E1A03F8">
      <w:pPr>
        <w:ind w:firstLine="1084"/>
        <w:rPr>
          <w:rFonts w:hint="default" w:ascii="Times New Roman" w:hAnsi="Times New Roman" w:cs="Times New Roman"/>
          <w:b/>
          <w:sz w:val="36"/>
          <w:u w:val="single"/>
        </w:rPr>
      </w:pPr>
    </w:p>
    <w:p w14:paraId="01243FAD">
      <w:pPr>
        <w:ind w:firstLine="1084"/>
        <w:rPr>
          <w:rFonts w:hint="default" w:ascii="Times New Roman" w:hAnsi="Times New Roman" w:cs="Times New Roman"/>
          <w:b/>
          <w:sz w:val="36"/>
          <w:u w:val="single"/>
        </w:rPr>
      </w:pPr>
      <w:r>
        <w:rPr>
          <w:rFonts w:hint="default" w:ascii="Times New Roman" w:hAnsi="Times New Roman" w:cs="Times New Roman"/>
          <w:b/>
          <w:sz w:val="36"/>
        </w:rPr>
        <w:t>地      址 ：</w:t>
      </w:r>
      <w:r>
        <w:rPr>
          <w:rFonts w:hint="default" w:ascii="Times New Roman" w:hAnsi="Times New Roman" w:cs="Times New Roman"/>
          <w:b/>
          <w:sz w:val="36"/>
          <w:u w:val="single"/>
        </w:rPr>
        <w:t xml:space="preserve">                      </w:t>
      </w:r>
    </w:p>
    <w:p w14:paraId="7BBD2EEB">
      <w:pPr>
        <w:ind w:firstLine="1084"/>
        <w:rPr>
          <w:rFonts w:hint="default" w:ascii="Times New Roman" w:hAnsi="Times New Roman" w:cs="Times New Roman"/>
          <w:b/>
          <w:sz w:val="36"/>
          <w:u w:val="single"/>
        </w:rPr>
      </w:pPr>
    </w:p>
    <w:p w14:paraId="5208DF6C">
      <w:pPr>
        <w:ind w:firstLine="1084"/>
        <w:rPr>
          <w:rFonts w:hint="default" w:ascii="Times New Roman" w:hAnsi="Times New Roman" w:cs="Times New Roman"/>
          <w:b/>
          <w:sz w:val="36"/>
          <w:u w:val="single"/>
        </w:rPr>
      </w:pPr>
      <w:r>
        <w:rPr>
          <w:rFonts w:hint="default" w:ascii="Times New Roman" w:hAnsi="Times New Roman" w:cs="Times New Roman"/>
          <w:b/>
          <w:sz w:val="36"/>
        </w:rPr>
        <w:t>授 权 代 表：</w:t>
      </w:r>
      <w:r>
        <w:rPr>
          <w:rFonts w:hint="default" w:ascii="Times New Roman" w:hAnsi="Times New Roman" w:cs="Times New Roman"/>
          <w:b/>
          <w:sz w:val="36"/>
          <w:u w:val="single"/>
        </w:rPr>
        <w:t xml:space="preserve">                      </w:t>
      </w:r>
    </w:p>
    <w:p w14:paraId="241B5E3C">
      <w:pPr>
        <w:ind w:firstLine="1084"/>
        <w:rPr>
          <w:rFonts w:hint="default" w:ascii="Times New Roman" w:hAnsi="Times New Roman" w:cs="Times New Roman"/>
          <w:b/>
          <w:sz w:val="36"/>
          <w:u w:val="single"/>
        </w:rPr>
      </w:pPr>
    </w:p>
    <w:p w14:paraId="7C22CFBA">
      <w:pPr>
        <w:ind w:firstLine="1084"/>
        <w:rPr>
          <w:rFonts w:hint="default" w:ascii="Times New Roman" w:hAnsi="Times New Roman" w:cs="Times New Roman"/>
          <w:b/>
          <w:sz w:val="36"/>
        </w:rPr>
      </w:pPr>
      <w:r>
        <w:rPr>
          <w:rFonts w:hint="default" w:ascii="Times New Roman" w:hAnsi="Times New Roman" w:cs="Times New Roman"/>
          <w:b/>
          <w:sz w:val="36"/>
        </w:rPr>
        <w:t>联 系 电 话：</w:t>
      </w:r>
      <w:r>
        <w:rPr>
          <w:rFonts w:hint="default" w:ascii="Times New Roman" w:hAnsi="Times New Roman" w:cs="Times New Roman"/>
          <w:b/>
          <w:sz w:val="36"/>
          <w:u w:val="single"/>
        </w:rPr>
        <w:t xml:space="preserve">                      </w:t>
      </w:r>
    </w:p>
    <w:p w14:paraId="7C1B9808">
      <w:pPr>
        <w:ind w:firstLine="1084"/>
        <w:rPr>
          <w:rFonts w:hint="default" w:ascii="Times New Roman" w:hAnsi="Times New Roman" w:cs="Times New Roman"/>
          <w:b/>
          <w:sz w:val="36"/>
        </w:rPr>
      </w:pPr>
    </w:p>
    <w:p w14:paraId="1117AF2E">
      <w:pPr>
        <w:ind w:firstLine="1084"/>
        <w:rPr>
          <w:rFonts w:hint="default" w:ascii="Times New Roman" w:hAnsi="Times New Roman" w:cs="Times New Roman"/>
          <w:b/>
          <w:sz w:val="36"/>
        </w:rPr>
      </w:pPr>
      <w:r>
        <w:rPr>
          <w:rFonts w:hint="default" w:ascii="Times New Roman" w:hAnsi="Times New Roman" w:cs="Times New Roman"/>
          <w:b/>
          <w:sz w:val="36"/>
        </w:rPr>
        <w:t>日      期 ：</w:t>
      </w:r>
      <w:r>
        <w:rPr>
          <w:rFonts w:hint="default" w:ascii="Times New Roman" w:hAnsi="Times New Roman" w:cs="Times New Roman"/>
          <w:b/>
          <w:sz w:val="36"/>
          <w:u w:val="single"/>
        </w:rPr>
        <w:t xml:space="preserve">                      </w:t>
      </w:r>
    </w:p>
    <w:p w14:paraId="41F92B07">
      <w:pPr>
        <w:pStyle w:val="190"/>
        <w:spacing w:before="0" w:after="0" w:line="538" w:lineRule="exact"/>
        <w:ind w:firstLine="540"/>
        <w:jc w:val="center"/>
        <w:rPr>
          <w:rFonts w:hint="default" w:ascii="Times New Roman" w:hAnsi="Times New Roman" w:cs="Times New Roman"/>
        </w:rPr>
      </w:pPr>
      <w:r>
        <w:rPr>
          <w:rFonts w:hint="default" w:ascii="Times New Roman" w:hAnsi="Times New Roman" w:eastAsia="黑体" w:cs="Times New Roman"/>
          <w:b w:val="0"/>
          <w:bCs w:val="0"/>
          <w:sz w:val="36"/>
        </w:rPr>
        <w:br w:type="page" w:clear="all"/>
      </w:r>
      <w:bookmarkStart w:id="201" w:name="_Toc475009302"/>
      <w:bookmarkStart w:id="202" w:name="_Toc406861645"/>
      <w:bookmarkStart w:id="203" w:name="_Toc481071972"/>
      <w:bookmarkStart w:id="204" w:name="_Toc481072018"/>
      <w:r>
        <w:rPr>
          <w:rFonts w:hint="default" w:ascii="Times New Roman" w:hAnsi="Times New Roman" w:cs="Times New Roman"/>
        </w:rPr>
        <w:t>资格性响应审查对照表</w:t>
      </w:r>
    </w:p>
    <w:p w14:paraId="1BA197FC">
      <w:pPr>
        <w:ind w:firstLine="480"/>
        <w:rPr>
          <w:rFonts w:hint="default" w:ascii="Times New Roman" w:hAnsi="Times New Roman" w:cs="Times New Roman"/>
          <w:sz w:val="24"/>
          <w:szCs w:val="24"/>
        </w:rPr>
      </w:pPr>
      <w:r>
        <w:rPr>
          <w:rFonts w:hint="default" w:ascii="Times New Roman" w:hAnsi="Times New Roman" w:cs="Times New Roman"/>
          <w:sz w:val="24"/>
          <w:szCs w:val="24"/>
        </w:rPr>
        <w:t xml:space="preserve">供应商全称（加盖公章）：                      </w:t>
      </w:r>
    </w:p>
    <w:p w14:paraId="66E33580">
      <w:pPr>
        <w:ind w:firstLine="480"/>
        <w:rPr>
          <w:rFonts w:hint="default" w:ascii="Times New Roman" w:hAnsi="Times New Roman" w:cs="Times New Roman"/>
          <w:sz w:val="24"/>
          <w:szCs w:val="24"/>
        </w:rPr>
      </w:pPr>
      <w:r>
        <w:rPr>
          <w:rFonts w:hint="default" w:ascii="Times New Roman" w:hAnsi="Times New Roman" w:cs="Times New Roman"/>
          <w:sz w:val="24"/>
          <w:szCs w:val="24"/>
        </w:rPr>
        <w:t>项目名称：</w:t>
      </w:r>
    </w:p>
    <w:tbl>
      <w:tblPr>
        <w:tblStyle w:val="31"/>
        <w:tblW w:w="9630" w:type="dxa"/>
        <w:tblInd w:w="-1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7"/>
        <w:gridCol w:w="4820"/>
        <w:gridCol w:w="1843"/>
        <w:gridCol w:w="2220"/>
      </w:tblGrid>
      <w:tr w14:paraId="4D5495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747" w:type="dxa"/>
            <w:noWrap w:val="0"/>
            <w:vAlign w:val="center"/>
          </w:tcPr>
          <w:p w14:paraId="09F81DA2">
            <w:pPr>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4820" w:type="dxa"/>
            <w:noWrap w:val="0"/>
            <w:vAlign w:val="center"/>
          </w:tcPr>
          <w:p w14:paraId="20A4E0F6">
            <w:pPr>
              <w:jc w:val="center"/>
              <w:rPr>
                <w:rFonts w:hint="default" w:ascii="Times New Roman" w:hAnsi="Times New Roman" w:cs="Times New Roman"/>
                <w:sz w:val="24"/>
                <w:szCs w:val="24"/>
              </w:rPr>
            </w:pPr>
            <w:r>
              <w:rPr>
                <w:rFonts w:hint="default" w:ascii="Times New Roman" w:hAnsi="Times New Roman" w:cs="Times New Roman"/>
                <w:sz w:val="24"/>
                <w:szCs w:val="24"/>
              </w:rPr>
              <w:t>资格性响应审查内容</w:t>
            </w:r>
          </w:p>
        </w:tc>
        <w:tc>
          <w:tcPr>
            <w:tcW w:w="1843" w:type="dxa"/>
            <w:noWrap w:val="0"/>
            <w:vAlign w:val="center"/>
          </w:tcPr>
          <w:p w14:paraId="76DF0669">
            <w:pPr>
              <w:jc w:val="center"/>
              <w:rPr>
                <w:rFonts w:hint="default" w:ascii="Times New Roman" w:hAnsi="Times New Roman" w:cs="Times New Roman"/>
                <w:sz w:val="24"/>
                <w:szCs w:val="24"/>
              </w:rPr>
            </w:pPr>
            <w:r>
              <w:rPr>
                <w:rFonts w:hint="default" w:ascii="Times New Roman" w:hAnsi="Times New Roman" w:cs="Times New Roman"/>
                <w:sz w:val="24"/>
                <w:szCs w:val="24"/>
              </w:rPr>
              <w:t>是否响应</w:t>
            </w:r>
          </w:p>
          <w:p w14:paraId="14535B61">
            <w:pPr>
              <w:jc w:val="center"/>
              <w:rPr>
                <w:rFonts w:hint="default" w:ascii="Times New Roman" w:hAnsi="Times New Roman" w:cs="Times New Roman"/>
                <w:sz w:val="24"/>
                <w:szCs w:val="24"/>
              </w:rPr>
            </w:pPr>
            <w:r>
              <w:rPr>
                <w:rFonts w:hint="default" w:ascii="Times New Roman" w:hAnsi="Times New Roman" w:cs="Times New Roman"/>
                <w:sz w:val="24"/>
                <w:szCs w:val="24"/>
              </w:rPr>
              <w:t>（填是或者否）</w:t>
            </w:r>
          </w:p>
        </w:tc>
        <w:tc>
          <w:tcPr>
            <w:tcW w:w="2220" w:type="dxa"/>
            <w:noWrap w:val="0"/>
            <w:vAlign w:val="center"/>
          </w:tcPr>
          <w:p w14:paraId="15688BA6">
            <w:pPr>
              <w:jc w:val="center"/>
              <w:rPr>
                <w:rFonts w:hint="default" w:ascii="Times New Roman" w:hAnsi="Times New Roman" w:cs="Times New Roman"/>
                <w:sz w:val="24"/>
                <w:szCs w:val="24"/>
              </w:rPr>
            </w:pPr>
            <w:r>
              <w:rPr>
                <w:rFonts w:hint="default" w:ascii="Times New Roman" w:hAnsi="Times New Roman" w:cs="Times New Roman"/>
                <w:sz w:val="24"/>
                <w:szCs w:val="24"/>
              </w:rPr>
              <w:t>供应商制作的投标文件中的页码位置</w:t>
            </w:r>
          </w:p>
        </w:tc>
      </w:tr>
      <w:tr w14:paraId="74849A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6" w:hRule="atLeast"/>
        </w:trPr>
        <w:tc>
          <w:tcPr>
            <w:tcW w:w="747" w:type="dxa"/>
            <w:noWrap w:val="0"/>
            <w:vAlign w:val="center"/>
          </w:tcPr>
          <w:p w14:paraId="17095C41">
            <w:pPr>
              <w:jc w:val="center"/>
              <w:rPr>
                <w:rFonts w:hint="default" w:ascii="Times New Roman" w:hAnsi="Times New Roman" w:eastAsia="仿宋_GB2312" w:cs="Times New Roman"/>
                <w:b/>
                <w:sz w:val="24"/>
                <w:szCs w:val="24"/>
              </w:rPr>
            </w:pPr>
            <w:r>
              <w:rPr>
                <w:rFonts w:hint="default" w:ascii="Times New Roman" w:hAnsi="Times New Roman" w:eastAsia="仿宋_GB2312" w:cs="Times New Roman"/>
                <w:sz w:val="24"/>
                <w:szCs w:val="24"/>
              </w:rPr>
              <w:t>1</w:t>
            </w:r>
          </w:p>
        </w:tc>
        <w:tc>
          <w:tcPr>
            <w:tcW w:w="4820" w:type="dxa"/>
            <w:noWrap w:val="0"/>
            <w:vAlign w:val="center"/>
          </w:tcPr>
          <w:p w14:paraId="7B33B3A6">
            <w:pPr>
              <w:spacing w:line="360" w:lineRule="exact"/>
              <w:rPr>
                <w:rFonts w:hint="default" w:ascii="Times New Roman" w:hAnsi="Times New Roman" w:cs="Times New Roman"/>
                <w:sz w:val="24"/>
              </w:rPr>
            </w:pPr>
            <w:r>
              <w:rPr>
                <w:rFonts w:hint="default" w:ascii="Times New Roman" w:hAnsi="Times New Roman" w:cs="Times New Roman"/>
                <w:sz w:val="24"/>
              </w:rPr>
              <w:t>法人或者其他组织的营业执照等证明文件</w:t>
            </w:r>
            <w:r>
              <w:rPr>
                <w:rStyle w:val="268"/>
                <w:rFonts w:hint="default" w:ascii="Times New Roman" w:hAnsi="Times New Roman" w:cs="Times New Roman"/>
                <w:sz w:val="24"/>
                <w:szCs w:val="24"/>
              </w:rPr>
              <w:t>，自然人的身份证明</w:t>
            </w:r>
            <w:r>
              <w:rPr>
                <w:rFonts w:hint="default" w:ascii="Times New Roman" w:hAnsi="Times New Roman" w:cs="Times New Roman"/>
                <w:sz w:val="24"/>
              </w:rPr>
              <w:t>（复印件）</w:t>
            </w:r>
          </w:p>
        </w:tc>
        <w:tc>
          <w:tcPr>
            <w:tcW w:w="1843" w:type="dxa"/>
            <w:noWrap w:val="0"/>
            <w:vAlign w:val="center"/>
          </w:tcPr>
          <w:p w14:paraId="488C9E84">
            <w:pPr>
              <w:ind w:firstLine="560"/>
              <w:jc w:val="center"/>
              <w:rPr>
                <w:rFonts w:hint="default" w:ascii="Times New Roman" w:hAnsi="Times New Roman" w:eastAsia="仿宋_GB2312" w:cs="Times New Roman"/>
                <w:b/>
                <w:sz w:val="24"/>
                <w:szCs w:val="24"/>
              </w:rPr>
            </w:pPr>
          </w:p>
        </w:tc>
        <w:tc>
          <w:tcPr>
            <w:tcW w:w="2220" w:type="dxa"/>
            <w:noWrap w:val="0"/>
            <w:vAlign w:val="center"/>
          </w:tcPr>
          <w:p w14:paraId="683CB7A4">
            <w:pPr>
              <w:ind w:firstLine="560"/>
              <w:jc w:val="center"/>
              <w:rPr>
                <w:rFonts w:hint="default" w:ascii="Times New Roman" w:hAnsi="Times New Roman" w:eastAsia="仿宋_GB2312" w:cs="Times New Roman"/>
                <w:b/>
                <w:sz w:val="24"/>
                <w:szCs w:val="24"/>
              </w:rPr>
            </w:pPr>
          </w:p>
        </w:tc>
      </w:tr>
      <w:tr w14:paraId="698D64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6" w:hRule="atLeast"/>
        </w:trPr>
        <w:tc>
          <w:tcPr>
            <w:tcW w:w="747" w:type="dxa"/>
            <w:noWrap w:val="0"/>
            <w:vAlign w:val="center"/>
          </w:tcPr>
          <w:p w14:paraId="5579D4AF">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w:t>
            </w:r>
          </w:p>
        </w:tc>
        <w:tc>
          <w:tcPr>
            <w:tcW w:w="4820" w:type="dxa"/>
            <w:noWrap w:val="0"/>
            <w:vAlign w:val="center"/>
          </w:tcPr>
          <w:p w14:paraId="0708E684">
            <w:pPr>
              <w:spacing w:line="360" w:lineRule="exact"/>
              <w:rPr>
                <w:rFonts w:hint="default" w:ascii="Times New Roman" w:hAnsi="Times New Roman" w:cs="Times New Roman"/>
                <w:sz w:val="24"/>
              </w:rPr>
            </w:pPr>
            <w:r>
              <w:rPr>
                <w:rFonts w:hint="default" w:ascii="Times New Roman" w:hAnsi="Times New Roman" w:cs="Times New Roman"/>
                <w:sz w:val="24"/>
              </w:rPr>
              <w:t>2024年度财务状况报告（复印件，成立不满一年不需提供）</w:t>
            </w:r>
          </w:p>
        </w:tc>
        <w:tc>
          <w:tcPr>
            <w:tcW w:w="1843" w:type="dxa"/>
            <w:noWrap w:val="0"/>
            <w:vAlign w:val="center"/>
          </w:tcPr>
          <w:p w14:paraId="2CE251FE">
            <w:pPr>
              <w:ind w:firstLine="560"/>
              <w:jc w:val="center"/>
              <w:rPr>
                <w:rFonts w:hint="default" w:ascii="Times New Roman" w:hAnsi="Times New Roman" w:eastAsia="仿宋_GB2312" w:cs="Times New Roman"/>
                <w:b/>
                <w:sz w:val="24"/>
                <w:szCs w:val="24"/>
              </w:rPr>
            </w:pPr>
          </w:p>
        </w:tc>
        <w:tc>
          <w:tcPr>
            <w:tcW w:w="2220" w:type="dxa"/>
            <w:noWrap w:val="0"/>
            <w:vAlign w:val="center"/>
          </w:tcPr>
          <w:p w14:paraId="1543368C">
            <w:pPr>
              <w:ind w:firstLine="560"/>
              <w:jc w:val="center"/>
              <w:rPr>
                <w:rFonts w:hint="default" w:ascii="Times New Roman" w:hAnsi="Times New Roman" w:eastAsia="仿宋_GB2312" w:cs="Times New Roman"/>
                <w:b/>
                <w:sz w:val="24"/>
                <w:szCs w:val="24"/>
              </w:rPr>
            </w:pPr>
          </w:p>
        </w:tc>
      </w:tr>
      <w:tr w14:paraId="0D70A9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0633239B">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w:t>
            </w:r>
          </w:p>
        </w:tc>
        <w:tc>
          <w:tcPr>
            <w:tcW w:w="4820" w:type="dxa"/>
            <w:noWrap w:val="0"/>
            <w:vAlign w:val="center"/>
          </w:tcPr>
          <w:p w14:paraId="523F9B74">
            <w:pPr>
              <w:spacing w:line="360" w:lineRule="exact"/>
              <w:rPr>
                <w:rFonts w:hint="default" w:ascii="Times New Roman" w:hAnsi="Times New Roman" w:cs="Times New Roman"/>
                <w:sz w:val="24"/>
              </w:rPr>
            </w:pPr>
            <w:r>
              <w:rPr>
                <w:rFonts w:hint="default" w:ascii="Times New Roman" w:hAnsi="Times New Roman" w:cs="Times New Roman"/>
                <w:sz w:val="24"/>
              </w:rPr>
              <w:t>公告前六个月内任一月份的</w:t>
            </w:r>
            <w:r>
              <w:rPr>
                <w:rFonts w:hint="default" w:ascii="Times New Roman" w:hAnsi="Times New Roman" w:cs="Times New Roman"/>
                <w:b/>
                <w:sz w:val="24"/>
              </w:rPr>
              <w:t>依法缴纳税收</w:t>
            </w:r>
            <w:r>
              <w:rPr>
                <w:rFonts w:hint="default" w:ascii="Times New Roman" w:hAnsi="Times New Roman" w:cs="Times New Roman"/>
                <w:sz w:val="24"/>
              </w:rPr>
              <w:t>和</w:t>
            </w:r>
            <w:r>
              <w:rPr>
                <w:rFonts w:hint="default" w:ascii="Times New Roman" w:hAnsi="Times New Roman" w:cs="Times New Roman"/>
                <w:b/>
                <w:sz w:val="24"/>
              </w:rPr>
              <w:t>社会保障资金</w:t>
            </w:r>
            <w:r>
              <w:rPr>
                <w:rFonts w:hint="default" w:ascii="Times New Roman" w:hAnsi="Times New Roman" w:cs="Times New Roman"/>
                <w:sz w:val="24"/>
              </w:rPr>
              <w:t>的相关材料（提供相关主管部门证明、或官方网站打印或银行代扣证明，根据国家相关政策免缴或迟缴的需提供相关证明材料复印件）</w:t>
            </w:r>
          </w:p>
        </w:tc>
        <w:tc>
          <w:tcPr>
            <w:tcW w:w="1843" w:type="dxa"/>
            <w:noWrap w:val="0"/>
            <w:vAlign w:val="center"/>
          </w:tcPr>
          <w:p w14:paraId="34ACB927">
            <w:pPr>
              <w:ind w:firstLine="560"/>
              <w:jc w:val="center"/>
              <w:rPr>
                <w:rFonts w:hint="default" w:ascii="Times New Roman" w:hAnsi="Times New Roman" w:eastAsia="仿宋_GB2312" w:cs="Times New Roman"/>
                <w:b/>
                <w:sz w:val="24"/>
                <w:szCs w:val="24"/>
              </w:rPr>
            </w:pPr>
          </w:p>
        </w:tc>
        <w:tc>
          <w:tcPr>
            <w:tcW w:w="2220" w:type="dxa"/>
            <w:noWrap w:val="0"/>
            <w:vAlign w:val="center"/>
          </w:tcPr>
          <w:p w14:paraId="635119FF">
            <w:pPr>
              <w:ind w:firstLine="560"/>
              <w:jc w:val="center"/>
              <w:rPr>
                <w:rFonts w:hint="default" w:ascii="Times New Roman" w:hAnsi="Times New Roman" w:eastAsia="仿宋_GB2312" w:cs="Times New Roman"/>
                <w:b/>
                <w:sz w:val="24"/>
                <w:szCs w:val="24"/>
              </w:rPr>
            </w:pPr>
          </w:p>
        </w:tc>
      </w:tr>
      <w:tr w14:paraId="079E18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4" w:hRule="atLeast"/>
        </w:trPr>
        <w:tc>
          <w:tcPr>
            <w:tcW w:w="747" w:type="dxa"/>
            <w:noWrap w:val="0"/>
            <w:vAlign w:val="center"/>
          </w:tcPr>
          <w:p w14:paraId="0B0CC3D1">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w:t>
            </w:r>
          </w:p>
        </w:tc>
        <w:tc>
          <w:tcPr>
            <w:tcW w:w="4820" w:type="dxa"/>
            <w:noWrap w:val="0"/>
            <w:vAlign w:val="center"/>
          </w:tcPr>
          <w:p w14:paraId="6730B1A0">
            <w:pPr>
              <w:spacing w:line="360" w:lineRule="exact"/>
              <w:rPr>
                <w:rFonts w:hint="default" w:ascii="Times New Roman" w:hAnsi="Times New Roman" w:cs="Times New Roman"/>
                <w:sz w:val="24"/>
              </w:rPr>
            </w:pPr>
            <w:r>
              <w:rPr>
                <w:rFonts w:hint="default" w:ascii="Times New Roman" w:hAnsi="Times New Roman" w:cs="Times New Roman"/>
                <w:sz w:val="24"/>
              </w:rPr>
              <w:t>具备履行合同所必需的设备和专业技术能力的证明材料（复印件）或书面声明（原件）</w:t>
            </w:r>
          </w:p>
        </w:tc>
        <w:tc>
          <w:tcPr>
            <w:tcW w:w="1843" w:type="dxa"/>
            <w:noWrap w:val="0"/>
            <w:vAlign w:val="center"/>
          </w:tcPr>
          <w:p w14:paraId="3F542032">
            <w:pPr>
              <w:ind w:firstLine="560"/>
              <w:jc w:val="center"/>
              <w:rPr>
                <w:rFonts w:hint="default" w:ascii="Times New Roman" w:hAnsi="Times New Roman" w:eastAsia="仿宋_GB2312" w:cs="Times New Roman"/>
                <w:b/>
                <w:sz w:val="24"/>
                <w:szCs w:val="24"/>
              </w:rPr>
            </w:pPr>
          </w:p>
        </w:tc>
        <w:tc>
          <w:tcPr>
            <w:tcW w:w="2220" w:type="dxa"/>
            <w:noWrap w:val="0"/>
            <w:vAlign w:val="center"/>
          </w:tcPr>
          <w:p w14:paraId="33250620">
            <w:pPr>
              <w:ind w:firstLine="560"/>
              <w:jc w:val="center"/>
              <w:rPr>
                <w:rFonts w:hint="default" w:ascii="Times New Roman" w:hAnsi="Times New Roman" w:eastAsia="仿宋_GB2312" w:cs="Times New Roman"/>
                <w:b/>
                <w:sz w:val="24"/>
                <w:szCs w:val="24"/>
              </w:rPr>
            </w:pPr>
          </w:p>
        </w:tc>
      </w:tr>
      <w:tr w14:paraId="3BCD34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9" w:hRule="atLeast"/>
        </w:trPr>
        <w:tc>
          <w:tcPr>
            <w:tcW w:w="747" w:type="dxa"/>
            <w:noWrap w:val="0"/>
            <w:vAlign w:val="center"/>
          </w:tcPr>
          <w:p w14:paraId="5DD339B6">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w:t>
            </w:r>
          </w:p>
        </w:tc>
        <w:tc>
          <w:tcPr>
            <w:tcW w:w="4820" w:type="dxa"/>
            <w:noWrap w:val="0"/>
            <w:vAlign w:val="center"/>
          </w:tcPr>
          <w:p w14:paraId="7F517341">
            <w:pPr>
              <w:spacing w:line="360" w:lineRule="exact"/>
              <w:rPr>
                <w:rFonts w:hint="default" w:ascii="Times New Roman" w:hAnsi="Times New Roman" w:cs="Times New Roman"/>
                <w:sz w:val="24"/>
              </w:rPr>
            </w:pPr>
            <w:r>
              <w:rPr>
                <w:rFonts w:hint="default" w:ascii="Times New Roman" w:hAnsi="Times New Roman" w:cs="Times New Roman"/>
                <w:sz w:val="24"/>
              </w:rPr>
              <w:t>参加政府采购活动前3年内在经营活动中没有重大违法记录的书面声明（原件）</w:t>
            </w:r>
          </w:p>
        </w:tc>
        <w:tc>
          <w:tcPr>
            <w:tcW w:w="1843" w:type="dxa"/>
            <w:noWrap w:val="0"/>
            <w:vAlign w:val="center"/>
          </w:tcPr>
          <w:p w14:paraId="3D0B931F">
            <w:pPr>
              <w:ind w:firstLine="560"/>
              <w:jc w:val="center"/>
              <w:rPr>
                <w:rFonts w:hint="default" w:ascii="Times New Roman" w:hAnsi="Times New Roman" w:eastAsia="仿宋_GB2312" w:cs="Times New Roman"/>
                <w:b/>
                <w:sz w:val="24"/>
                <w:szCs w:val="24"/>
              </w:rPr>
            </w:pPr>
          </w:p>
        </w:tc>
        <w:tc>
          <w:tcPr>
            <w:tcW w:w="2220" w:type="dxa"/>
            <w:noWrap w:val="0"/>
            <w:vAlign w:val="center"/>
          </w:tcPr>
          <w:p w14:paraId="308FAFD8">
            <w:pPr>
              <w:ind w:firstLine="560"/>
              <w:jc w:val="center"/>
              <w:rPr>
                <w:rFonts w:hint="default" w:ascii="Times New Roman" w:hAnsi="Times New Roman" w:eastAsia="仿宋_GB2312" w:cs="Times New Roman"/>
                <w:b/>
                <w:sz w:val="24"/>
                <w:szCs w:val="24"/>
              </w:rPr>
            </w:pPr>
          </w:p>
        </w:tc>
      </w:tr>
      <w:tr w14:paraId="0EF68C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47" w:type="dxa"/>
            <w:noWrap w:val="0"/>
            <w:vAlign w:val="center"/>
          </w:tcPr>
          <w:p w14:paraId="467903B4">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w:t>
            </w:r>
          </w:p>
        </w:tc>
        <w:tc>
          <w:tcPr>
            <w:tcW w:w="4820" w:type="dxa"/>
            <w:noWrap w:val="0"/>
            <w:vAlign w:val="center"/>
          </w:tcPr>
          <w:p w14:paraId="73748700">
            <w:pPr>
              <w:spacing w:line="360" w:lineRule="exact"/>
              <w:rPr>
                <w:rFonts w:hint="default" w:ascii="Times New Roman" w:hAnsi="Times New Roman" w:cs="Times New Roman"/>
                <w:sz w:val="24"/>
                <w:szCs w:val="24"/>
              </w:rPr>
            </w:pPr>
            <w:r>
              <w:rPr>
                <w:rFonts w:hint="default" w:ascii="Times New Roman" w:hAnsi="Times New Roman" w:cs="Times New Roman"/>
                <w:sz w:val="24"/>
                <w:szCs w:val="24"/>
              </w:rPr>
              <w:t>投标函</w:t>
            </w:r>
            <w:r>
              <w:rPr>
                <w:rFonts w:hint="default" w:ascii="Times New Roman" w:hAnsi="Times New Roman" w:cs="Times New Roman"/>
                <w:sz w:val="24"/>
              </w:rPr>
              <w:t>（原件）</w:t>
            </w:r>
          </w:p>
        </w:tc>
        <w:tc>
          <w:tcPr>
            <w:tcW w:w="1843" w:type="dxa"/>
            <w:noWrap w:val="0"/>
            <w:vAlign w:val="center"/>
          </w:tcPr>
          <w:p w14:paraId="4B242DAC">
            <w:pPr>
              <w:ind w:firstLine="560"/>
              <w:jc w:val="center"/>
              <w:rPr>
                <w:rFonts w:hint="default" w:ascii="Times New Roman" w:hAnsi="Times New Roman" w:eastAsia="仿宋_GB2312" w:cs="Times New Roman"/>
                <w:sz w:val="24"/>
                <w:szCs w:val="24"/>
              </w:rPr>
            </w:pPr>
          </w:p>
        </w:tc>
        <w:tc>
          <w:tcPr>
            <w:tcW w:w="2220" w:type="dxa"/>
            <w:noWrap w:val="0"/>
            <w:vAlign w:val="center"/>
          </w:tcPr>
          <w:p w14:paraId="64454BB8">
            <w:pPr>
              <w:ind w:firstLine="560"/>
              <w:jc w:val="center"/>
              <w:rPr>
                <w:rFonts w:hint="default" w:ascii="Times New Roman" w:hAnsi="Times New Roman" w:eastAsia="仿宋_GB2312" w:cs="Times New Roman"/>
                <w:sz w:val="24"/>
                <w:szCs w:val="24"/>
              </w:rPr>
            </w:pPr>
          </w:p>
        </w:tc>
      </w:tr>
      <w:tr w14:paraId="46189D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66C2BF21">
            <w:pPr>
              <w:spacing w:line="480" w:lineRule="exact"/>
              <w:jc w:val="center"/>
              <w:rPr>
                <w:rFonts w:hint="default" w:ascii="Times New Roman" w:hAnsi="Times New Roman" w:cs="Times New Roman"/>
                <w:sz w:val="24"/>
              </w:rPr>
            </w:pPr>
            <w:r>
              <w:rPr>
                <w:rFonts w:hint="default" w:ascii="Times New Roman" w:hAnsi="Times New Roman" w:cs="Times New Roman"/>
                <w:sz w:val="24"/>
              </w:rPr>
              <w:t>7</w:t>
            </w:r>
          </w:p>
        </w:tc>
        <w:tc>
          <w:tcPr>
            <w:tcW w:w="4820" w:type="dxa"/>
            <w:noWrap w:val="0"/>
            <w:vAlign w:val="center"/>
          </w:tcPr>
          <w:p w14:paraId="4EACA2A0">
            <w:pPr>
              <w:spacing w:line="360" w:lineRule="exact"/>
              <w:rPr>
                <w:rFonts w:hint="default" w:ascii="Times New Roman" w:hAnsi="Times New Roman" w:cs="Times New Roman"/>
                <w:sz w:val="24"/>
              </w:rPr>
            </w:pPr>
            <w:r>
              <w:rPr>
                <w:rFonts w:hint="default" w:ascii="Times New Roman" w:hAnsi="Times New Roman" w:cs="Times New Roman"/>
                <w:sz w:val="24"/>
              </w:rPr>
              <w:t>不存在与参加本项目的其他供应商单位负责人为同一人或者存在直接控股、管理关系的承诺（原件）</w:t>
            </w:r>
          </w:p>
        </w:tc>
        <w:tc>
          <w:tcPr>
            <w:tcW w:w="1843" w:type="dxa"/>
            <w:noWrap w:val="0"/>
            <w:vAlign w:val="center"/>
          </w:tcPr>
          <w:p w14:paraId="10FDC239">
            <w:pPr>
              <w:ind w:firstLine="560"/>
              <w:jc w:val="center"/>
              <w:rPr>
                <w:rFonts w:hint="default" w:ascii="Times New Roman" w:hAnsi="Times New Roman" w:eastAsia="仿宋_GB2312" w:cs="Times New Roman"/>
                <w:sz w:val="24"/>
                <w:szCs w:val="24"/>
              </w:rPr>
            </w:pPr>
          </w:p>
        </w:tc>
        <w:tc>
          <w:tcPr>
            <w:tcW w:w="2220" w:type="dxa"/>
            <w:noWrap w:val="0"/>
            <w:vAlign w:val="center"/>
          </w:tcPr>
          <w:p w14:paraId="1ADF173C">
            <w:pPr>
              <w:ind w:firstLine="560"/>
              <w:jc w:val="center"/>
              <w:rPr>
                <w:rFonts w:hint="default" w:ascii="Times New Roman" w:hAnsi="Times New Roman" w:eastAsia="仿宋_GB2312" w:cs="Times New Roman"/>
                <w:sz w:val="24"/>
                <w:szCs w:val="24"/>
              </w:rPr>
            </w:pPr>
          </w:p>
        </w:tc>
      </w:tr>
      <w:tr w14:paraId="7C6EFB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391270CA">
            <w:pPr>
              <w:spacing w:line="480" w:lineRule="exact"/>
              <w:jc w:val="center"/>
              <w:rPr>
                <w:rFonts w:hint="default" w:ascii="Times New Roman" w:hAnsi="Times New Roman" w:cs="Times New Roman"/>
                <w:sz w:val="24"/>
              </w:rPr>
            </w:pPr>
            <w:r>
              <w:rPr>
                <w:rFonts w:hint="default" w:ascii="Times New Roman" w:hAnsi="Times New Roman" w:cs="Times New Roman"/>
                <w:sz w:val="24"/>
              </w:rPr>
              <w:t>8</w:t>
            </w:r>
          </w:p>
        </w:tc>
        <w:tc>
          <w:tcPr>
            <w:tcW w:w="4820" w:type="dxa"/>
            <w:noWrap w:val="0"/>
            <w:vAlign w:val="center"/>
          </w:tcPr>
          <w:p w14:paraId="368705DB">
            <w:pPr>
              <w:spacing w:line="360" w:lineRule="exact"/>
              <w:rPr>
                <w:rFonts w:hint="default" w:ascii="Times New Roman" w:hAnsi="Times New Roman" w:cs="Times New Roman"/>
                <w:sz w:val="24"/>
              </w:rPr>
            </w:pPr>
            <w:r>
              <w:rPr>
                <w:rFonts w:hint="default" w:ascii="Times New Roman" w:hAnsi="Times New Roman" w:cs="Times New Roman"/>
                <w:sz w:val="24"/>
              </w:rPr>
              <w:t>本项目投标文件提交截止日前未被“信用中国”、“中国政府采购网”列入失信被执行人、重大税收违法案件当事人名单、政府采购严重失信行为记录名单及未发现存在不符合《中华人民共和国政府采购法》第二十二条规定条件的情形。</w:t>
            </w:r>
            <w:r>
              <w:rPr>
                <w:rFonts w:hint="default" w:ascii="Times New Roman" w:hAnsi="Times New Roman" w:cs="Times New Roman"/>
                <w:b/>
                <w:sz w:val="24"/>
              </w:rPr>
              <w:t>（投标文件中无需提供证明材料）</w:t>
            </w:r>
          </w:p>
        </w:tc>
        <w:tc>
          <w:tcPr>
            <w:tcW w:w="1843" w:type="dxa"/>
            <w:noWrap w:val="0"/>
            <w:vAlign w:val="center"/>
          </w:tcPr>
          <w:p w14:paraId="5689D383">
            <w:pPr>
              <w:ind w:firstLine="560"/>
              <w:jc w:val="center"/>
              <w:rPr>
                <w:rFonts w:hint="default" w:ascii="Times New Roman" w:hAnsi="Times New Roman" w:eastAsia="仿宋_GB2312" w:cs="Times New Roman"/>
                <w:sz w:val="24"/>
                <w:szCs w:val="24"/>
              </w:rPr>
            </w:pPr>
          </w:p>
        </w:tc>
        <w:tc>
          <w:tcPr>
            <w:tcW w:w="2220" w:type="dxa"/>
            <w:noWrap w:val="0"/>
            <w:vAlign w:val="center"/>
          </w:tcPr>
          <w:p w14:paraId="1139D555">
            <w:pPr>
              <w:ind w:firstLine="560"/>
              <w:jc w:val="center"/>
              <w:rPr>
                <w:rFonts w:hint="default" w:ascii="Times New Roman" w:hAnsi="Times New Roman" w:eastAsia="仿宋_GB2312" w:cs="Times New Roman"/>
                <w:sz w:val="24"/>
                <w:szCs w:val="24"/>
              </w:rPr>
            </w:pPr>
          </w:p>
        </w:tc>
      </w:tr>
      <w:tr w14:paraId="55EF6F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6" w:hRule="atLeast"/>
        </w:trPr>
        <w:tc>
          <w:tcPr>
            <w:tcW w:w="747" w:type="dxa"/>
            <w:noWrap w:val="0"/>
            <w:vAlign w:val="center"/>
          </w:tcPr>
          <w:p w14:paraId="21006CB2">
            <w:pPr>
              <w:spacing w:line="480" w:lineRule="exact"/>
              <w:jc w:val="center"/>
              <w:rPr>
                <w:rFonts w:hint="default" w:ascii="Times New Roman" w:hAnsi="Times New Roman" w:cs="Times New Roman"/>
                <w:sz w:val="24"/>
              </w:rPr>
            </w:pPr>
            <w:r>
              <w:rPr>
                <w:rFonts w:hint="default" w:ascii="Times New Roman" w:hAnsi="Times New Roman" w:cs="Times New Roman"/>
                <w:sz w:val="24"/>
              </w:rPr>
              <w:t>9</w:t>
            </w:r>
          </w:p>
        </w:tc>
        <w:tc>
          <w:tcPr>
            <w:tcW w:w="4820" w:type="dxa"/>
            <w:noWrap w:val="0"/>
            <w:vAlign w:val="center"/>
          </w:tcPr>
          <w:p w14:paraId="16106C13">
            <w:pPr>
              <w:spacing w:line="480" w:lineRule="exact"/>
              <w:rPr>
                <w:rFonts w:hint="default" w:ascii="Times New Roman" w:hAnsi="Times New Roman" w:cs="Times New Roman"/>
                <w:sz w:val="24"/>
                <w:szCs w:val="24"/>
              </w:rPr>
            </w:pPr>
            <w:r>
              <w:rPr>
                <w:rFonts w:hint="default" w:ascii="Times New Roman" w:hAnsi="Times New Roman" w:cs="Times New Roman"/>
                <w:sz w:val="24"/>
              </w:rPr>
              <w:t>本项目不接受联合体参与投标（原件）</w:t>
            </w:r>
          </w:p>
        </w:tc>
        <w:tc>
          <w:tcPr>
            <w:tcW w:w="1843" w:type="dxa"/>
            <w:noWrap w:val="0"/>
            <w:vAlign w:val="center"/>
          </w:tcPr>
          <w:p w14:paraId="6AF22D79">
            <w:pPr>
              <w:ind w:firstLine="560"/>
              <w:jc w:val="center"/>
              <w:rPr>
                <w:rFonts w:hint="default" w:ascii="Times New Roman" w:hAnsi="Times New Roman" w:eastAsia="仿宋_GB2312" w:cs="Times New Roman"/>
                <w:sz w:val="24"/>
                <w:szCs w:val="24"/>
              </w:rPr>
            </w:pPr>
          </w:p>
        </w:tc>
        <w:tc>
          <w:tcPr>
            <w:tcW w:w="2220" w:type="dxa"/>
            <w:noWrap w:val="0"/>
            <w:vAlign w:val="center"/>
          </w:tcPr>
          <w:p w14:paraId="5A1B75F5">
            <w:pPr>
              <w:ind w:firstLine="560"/>
              <w:jc w:val="center"/>
              <w:rPr>
                <w:rFonts w:hint="default" w:ascii="Times New Roman" w:hAnsi="Times New Roman" w:eastAsia="仿宋_GB2312" w:cs="Times New Roman"/>
                <w:sz w:val="24"/>
                <w:szCs w:val="24"/>
              </w:rPr>
            </w:pPr>
          </w:p>
        </w:tc>
      </w:tr>
      <w:tr w14:paraId="564A78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6" w:hRule="atLeast"/>
        </w:trPr>
        <w:tc>
          <w:tcPr>
            <w:tcW w:w="747" w:type="dxa"/>
            <w:noWrap w:val="0"/>
            <w:vAlign w:val="center"/>
          </w:tcPr>
          <w:p w14:paraId="451B1372">
            <w:pPr>
              <w:spacing w:line="480" w:lineRule="exact"/>
              <w:jc w:val="center"/>
              <w:rPr>
                <w:rFonts w:hint="default" w:ascii="Times New Roman" w:hAnsi="Times New Roman" w:cs="Times New Roman"/>
                <w:sz w:val="24"/>
              </w:rPr>
            </w:pPr>
            <w:r>
              <w:rPr>
                <w:rFonts w:hint="default" w:ascii="Times New Roman" w:hAnsi="Times New Roman" w:cs="Times New Roman"/>
                <w:sz w:val="24"/>
              </w:rPr>
              <w:t>10</w:t>
            </w:r>
          </w:p>
        </w:tc>
        <w:tc>
          <w:tcPr>
            <w:tcW w:w="4820" w:type="dxa"/>
            <w:noWrap w:val="0"/>
            <w:vAlign w:val="center"/>
          </w:tcPr>
          <w:p w14:paraId="34F5CEB7">
            <w:pPr>
              <w:spacing w:line="480" w:lineRule="exact"/>
              <w:rPr>
                <w:rFonts w:hint="default" w:ascii="Times New Roman" w:hAnsi="Times New Roman" w:cs="Times New Roman"/>
                <w:sz w:val="24"/>
              </w:rPr>
            </w:pPr>
            <w:r>
              <w:rPr>
                <w:rFonts w:hint="default" w:ascii="Times New Roman" w:hAnsi="Times New Roman" w:cs="Times New Roman"/>
                <w:sz w:val="24"/>
              </w:rPr>
              <w:t>本项目接受进口产品参与投标（提供进口产品授权文件）</w:t>
            </w:r>
          </w:p>
        </w:tc>
        <w:tc>
          <w:tcPr>
            <w:tcW w:w="1843" w:type="dxa"/>
            <w:noWrap w:val="0"/>
            <w:vAlign w:val="center"/>
          </w:tcPr>
          <w:p w14:paraId="026F0781">
            <w:pPr>
              <w:ind w:firstLine="560"/>
              <w:jc w:val="center"/>
              <w:rPr>
                <w:rFonts w:hint="default" w:ascii="Times New Roman" w:hAnsi="Times New Roman" w:eastAsia="仿宋_GB2312" w:cs="Times New Roman"/>
                <w:sz w:val="24"/>
                <w:szCs w:val="24"/>
              </w:rPr>
            </w:pPr>
          </w:p>
        </w:tc>
        <w:tc>
          <w:tcPr>
            <w:tcW w:w="2220" w:type="dxa"/>
            <w:noWrap w:val="0"/>
            <w:vAlign w:val="center"/>
          </w:tcPr>
          <w:p w14:paraId="3B5342B7">
            <w:pPr>
              <w:ind w:firstLine="560"/>
              <w:jc w:val="center"/>
              <w:rPr>
                <w:rFonts w:hint="default" w:ascii="Times New Roman" w:hAnsi="Times New Roman" w:eastAsia="仿宋_GB2312" w:cs="Times New Roman"/>
                <w:sz w:val="24"/>
                <w:szCs w:val="24"/>
              </w:rPr>
            </w:pPr>
          </w:p>
        </w:tc>
      </w:tr>
    </w:tbl>
    <w:p w14:paraId="38B55F61">
      <w:pPr>
        <w:spacing w:before="50" w:after="145" w:line="520" w:lineRule="exact"/>
        <w:jc w:val="left"/>
        <w:rPr>
          <w:rFonts w:hint="default" w:ascii="Times New Roman" w:hAnsi="Times New Roman" w:cs="Times New Roman"/>
          <w:sz w:val="24"/>
          <w:szCs w:val="24"/>
        </w:rPr>
      </w:pPr>
      <w:r>
        <w:rPr>
          <w:rFonts w:hint="default" w:ascii="Times New Roman" w:hAnsi="Times New Roman" w:cs="Times New Roman"/>
          <w:b/>
          <w:sz w:val="24"/>
        </w:rPr>
        <w:t>备注：1.</w:t>
      </w:r>
      <w:r>
        <w:rPr>
          <w:rFonts w:hint="default" w:ascii="Times New Roman" w:hAnsi="Times New Roman" w:cs="Times New Roman"/>
          <w:b/>
          <w:i/>
          <w:sz w:val="24"/>
          <w:szCs w:val="24"/>
          <w:u w:val="single"/>
        </w:rPr>
        <w:t xml:space="preserve"> 以上涉及到的资格证明文件(（除文件8）须清晰可见相关内容，并加盖公章，否则视为无效投标。</w:t>
      </w:r>
      <w:r>
        <w:rPr>
          <w:rFonts w:hint="default" w:ascii="Times New Roman" w:hAnsi="Times New Roman" w:cs="Times New Roman"/>
        </w:rPr>
        <w:t xml:space="preserve"> </w:t>
      </w:r>
      <w:r>
        <w:rPr>
          <w:rFonts w:hint="default" w:ascii="Times New Roman" w:hAnsi="Times New Roman" w:cs="Times New Roman"/>
          <w:sz w:val="24"/>
          <w:szCs w:val="24"/>
        </w:rPr>
        <w:t>（非中文版证明资料需同时提供中文翻译文件）。</w:t>
      </w:r>
    </w:p>
    <w:p w14:paraId="761203C9">
      <w:pPr>
        <w:spacing w:before="50" w:after="145" w:line="520" w:lineRule="exact"/>
        <w:ind w:firstLine="720"/>
        <w:jc w:val="left"/>
        <w:rPr>
          <w:rFonts w:hint="default" w:ascii="Times New Roman" w:hAnsi="Times New Roman" w:cs="Times New Roman"/>
          <w:sz w:val="24"/>
          <w:szCs w:val="24"/>
        </w:rPr>
      </w:pPr>
      <w:r>
        <w:rPr>
          <w:rFonts w:hint="default" w:ascii="Times New Roman" w:hAnsi="Times New Roman" w:cs="Times New Roman"/>
          <w:sz w:val="24"/>
          <w:szCs w:val="24"/>
        </w:rPr>
        <w:t>2．上述是对供应商资格审查时，供应商必须提供的资格证明文件，如供应商未能提供上述资格证明文件以及供应商资质条件不符合招标文件要求的将取消其继续参加投标的资格。</w:t>
      </w:r>
    </w:p>
    <w:p w14:paraId="43CBB201">
      <w:pPr>
        <w:spacing w:line="470" w:lineRule="exact"/>
        <w:ind w:firstLine="756"/>
        <w:rPr>
          <w:rFonts w:hint="default" w:ascii="Times New Roman" w:hAnsi="Times New Roman" w:cs="Times New Roman"/>
          <w:sz w:val="24"/>
        </w:rPr>
      </w:pPr>
      <w:r>
        <w:rPr>
          <w:rFonts w:hint="default" w:ascii="Times New Roman" w:hAnsi="Times New Roman" w:cs="Times New Roman"/>
          <w:sz w:val="24"/>
          <w:szCs w:val="24"/>
        </w:rPr>
        <w:t>3.供应商所提供的资格证明材料应真实、有效，装备中心及采购人保留对供应商提供的资格证明材料进行核查的权利。如发现供应商提供虚假资格证明材料，一经查实作无效投标处理。</w:t>
      </w:r>
    </w:p>
    <w:p w14:paraId="70DFB8E6">
      <w:pPr>
        <w:spacing w:line="440" w:lineRule="exact"/>
        <w:jc w:val="center"/>
        <w:rPr>
          <w:rFonts w:hint="default" w:ascii="Times New Roman" w:hAnsi="Times New Roman" w:cs="Times New Roman"/>
        </w:rPr>
      </w:pPr>
    </w:p>
    <w:p w14:paraId="5EAEED52">
      <w:pPr>
        <w:widowControl/>
        <w:jc w:val="left"/>
        <w:rPr>
          <w:rFonts w:hint="default" w:ascii="Times New Roman" w:hAnsi="Times New Roman" w:cs="Times New Roman"/>
        </w:rPr>
      </w:pPr>
    </w:p>
    <w:p w14:paraId="112505A9">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szCs w:val="24"/>
        </w:rPr>
        <w:br w:type="page" w:clear="all"/>
      </w:r>
      <w:r>
        <w:rPr>
          <w:rFonts w:hint="default" w:ascii="Times New Roman" w:hAnsi="Times New Roman" w:cs="Times New Roman"/>
        </w:rPr>
        <w:t>符合性响应审查对照表</w:t>
      </w:r>
    </w:p>
    <w:p w14:paraId="333DACCA">
      <w:pPr>
        <w:ind w:firstLine="480"/>
        <w:rPr>
          <w:rFonts w:hint="default" w:ascii="Times New Roman" w:hAnsi="Times New Roman" w:cs="Times New Roman"/>
          <w:sz w:val="24"/>
          <w:szCs w:val="24"/>
        </w:rPr>
      </w:pPr>
      <w:r>
        <w:rPr>
          <w:rFonts w:hint="default" w:ascii="Times New Roman" w:hAnsi="Times New Roman" w:cs="Times New Roman"/>
          <w:sz w:val="24"/>
          <w:szCs w:val="24"/>
        </w:rPr>
        <w:t xml:space="preserve">供应商全称（加盖公章）：                      </w:t>
      </w:r>
    </w:p>
    <w:p w14:paraId="254FC4AC">
      <w:pPr>
        <w:ind w:firstLine="480"/>
        <w:rPr>
          <w:rFonts w:hint="default" w:ascii="Times New Roman" w:hAnsi="Times New Roman" w:cs="Times New Roman"/>
          <w:sz w:val="24"/>
          <w:szCs w:val="24"/>
        </w:rPr>
      </w:pPr>
      <w:r>
        <w:rPr>
          <w:rFonts w:hint="default" w:ascii="Times New Roman" w:hAnsi="Times New Roman" w:cs="Times New Roman"/>
          <w:sz w:val="24"/>
          <w:szCs w:val="24"/>
        </w:rPr>
        <w:t>项目名称：</w:t>
      </w:r>
    </w:p>
    <w:tbl>
      <w:tblPr>
        <w:tblStyle w:val="31"/>
        <w:tblW w:w="9630" w:type="dxa"/>
        <w:tblInd w:w="-1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7"/>
        <w:gridCol w:w="4820"/>
        <w:gridCol w:w="1843"/>
        <w:gridCol w:w="2220"/>
      </w:tblGrid>
      <w:tr w14:paraId="4594E1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747" w:type="dxa"/>
            <w:noWrap w:val="0"/>
            <w:vAlign w:val="center"/>
          </w:tcPr>
          <w:p w14:paraId="557677B7">
            <w:pPr>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4820" w:type="dxa"/>
            <w:noWrap w:val="0"/>
            <w:vAlign w:val="center"/>
          </w:tcPr>
          <w:p w14:paraId="4253D04A">
            <w:pPr>
              <w:jc w:val="center"/>
              <w:rPr>
                <w:rFonts w:hint="default" w:ascii="Times New Roman" w:hAnsi="Times New Roman" w:cs="Times New Roman"/>
                <w:sz w:val="24"/>
                <w:szCs w:val="24"/>
              </w:rPr>
            </w:pPr>
            <w:r>
              <w:rPr>
                <w:rFonts w:hint="default" w:ascii="Times New Roman" w:hAnsi="Times New Roman" w:cs="Times New Roman"/>
                <w:sz w:val="24"/>
                <w:szCs w:val="24"/>
              </w:rPr>
              <w:t>符合性响应审查内容</w:t>
            </w:r>
          </w:p>
        </w:tc>
        <w:tc>
          <w:tcPr>
            <w:tcW w:w="1843" w:type="dxa"/>
            <w:noWrap w:val="0"/>
            <w:vAlign w:val="center"/>
          </w:tcPr>
          <w:p w14:paraId="5C0534D6">
            <w:pPr>
              <w:jc w:val="center"/>
              <w:rPr>
                <w:rFonts w:hint="default" w:ascii="Times New Roman" w:hAnsi="Times New Roman" w:cs="Times New Roman"/>
                <w:sz w:val="24"/>
                <w:szCs w:val="24"/>
              </w:rPr>
            </w:pPr>
            <w:r>
              <w:rPr>
                <w:rFonts w:hint="default" w:ascii="Times New Roman" w:hAnsi="Times New Roman" w:cs="Times New Roman"/>
                <w:sz w:val="24"/>
                <w:szCs w:val="24"/>
              </w:rPr>
              <w:t>是否响应</w:t>
            </w:r>
          </w:p>
          <w:p w14:paraId="1BD5A89D">
            <w:pPr>
              <w:jc w:val="center"/>
              <w:rPr>
                <w:rFonts w:hint="default" w:ascii="Times New Roman" w:hAnsi="Times New Roman" w:cs="Times New Roman"/>
                <w:sz w:val="24"/>
                <w:szCs w:val="24"/>
              </w:rPr>
            </w:pPr>
            <w:r>
              <w:rPr>
                <w:rFonts w:hint="default" w:ascii="Times New Roman" w:hAnsi="Times New Roman" w:cs="Times New Roman"/>
                <w:sz w:val="24"/>
                <w:szCs w:val="24"/>
              </w:rPr>
              <w:t>（填是或者否）</w:t>
            </w:r>
          </w:p>
        </w:tc>
        <w:tc>
          <w:tcPr>
            <w:tcW w:w="2220" w:type="dxa"/>
            <w:noWrap w:val="0"/>
            <w:vAlign w:val="center"/>
          </w:tcPr>
          <w:p w14:paraId="09583DB9">
            <w:pPr>
              <w:jc w:val="center"/>
              <w:rPr>
                <w:rFonts w:hint="default" w:ascii="Times New Roman" w:hAnsi="Times New Roman" w:cs="Times New Roman"/>
                <w:sz w:val="24"/>
                <w:szCs w:val="24"/>
              </w:rPr>
            </w:pPr>
            <w:r>
              <w:rPr>
                <w:rFonts w:hint="default" w:ascii="Times New Roman" w:hAnsi="Times New Roman" w:cs="Times New Roman"/>
                <w:sz w:val="24"/>
                <w:szCs w:val="24"/>
              </w:rPr>
              <w:t>供应商制作的投标文件中的页码位置</w:t>
            </w:r>
          </w:p>
        </w:tc>
      </w:tr>
      <w:tr w14:paraId="7319D1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0" w:hRule="atLeast"/>
        </w:trPr>
        <w:tc>
          <w:tcPr>
            <w:tcW w:w="747" w:type="dxa"/>
            <w:noWrap w:val="0"/>
            <w:vAlign w:val="center"/>
          </w:tcPr>
          <w:p w14:paraId="1B2D9A66">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w:t>
            </w:r>
          </w:p>
        </w:tc>
        <w:tc>
          <w:tcPr>
            <w:tcW w:w="4820" w:type="dxa"/>
            <w:noWrap w:val="0"/>
            <w:vAlign w:val="center"/>
          </w:tcPr>
          <w:p w14:paraId="6C3E6EFD">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投标报价是固定唯一的</w:t>
            </w:r>
          </w:p>
        </w:tc>
        <w:tc>
          <w:tcPr>
            <w:tcW w:w="1843" w:type="dxa"/>
            <w:noWrap w:val="0"/>
            <w:vAlign w:val="center"/>
          </w:tcPr>
          <w:p w14:paraId="0F391EB7">
            <w:pPr>
              <w:ind w:firstLine="560"/>
              <w:jc w:val="center"/>
              <w:rPr>
                <w:rFonts w:hint="default" w:ascii="Times New Roman" w:hAnsi="Times New Roman" w:eastAsia="仿宋_GB2312" w:cs="Times New Roman"/>
                <w:sz w:val="24"/>
                <w:szCs w:val="24"/>
              </w:rPr>
            </w:pPr>
          </w:p>
        </w:tc>
        <w:tc>
          <w:tcPr>
            <w:tcW w:w="2220" w:type="dxa"/>
            <w:noWrap w:val="0"/>
            <w:vAlign w:val="center"/>
          </w:tcPr>
          <w:p w14:paraId="22A22940">
            <w:pPr>
              <w:ind w:firstLine="560"/>
              <w:jc w:val="center"/>
              <w:rPr>
                <w:rFonts w:hint="default" w:ascii="Times New Roman" w:hAnsi="Times New Roman" w:eastAsia="仿宋_GB2312" w:cs="Times New Roman"/>
                <w:sz w:val="24"/>
                <w:szCs w:val="24"/>
              </w:rPr>
            </w:pPr>
          </w:p>
        </w:tc>
      </w:tr>
      <w:tr w14:paraId="50EF64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0" w:hRule="atLeast"/>
        </w:trPr>
        <w:tc>
          <w:tcPr>
            <w:tcW w:w="747" w:type="dxa"/>
            <w:noWrap w:val="0"/>
            <w:vAlign w:val="center"/>
          </w:tcPr>
          <w:p w14:paraId="258E181B">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2</w:t>
            </w:r>
          </w:p>
        </w:tc>
        <w:tc>
          <w:tcPr>
            <w:tcW w:w="4820" w:type="dxa"/>
            <w:noWrap w:val="0"/>
            <w:vAlign w:val="center"/>
          </w:tcPr>
          <w:p w14:paraId="0A358C88">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投标报价不超过采购预算（最高限价）</w:t>
            </w:r>
          </w:p>
        </w:tc>
        <w:tc>
          <w:tcPr>
            <w:tcW w:w="1843" w:type="dxa"/>
            <w:noWrap w:val="0"/>
            <w:vAlign w:val="center"/>
          </w:tcPr>
          <w:p w14:paraId="0C10D270">
            <w:pPr>
              <w:ind w:firstLine="560"/>
              <w:jc w:val="center"/>
              <w:rPr>
                <w:rFonts w:hint="default" w:ascii="Times New Roman" w:hAnsi="Times New Roman" w:eastAsia="仿宋_GB2312" w:cs="Times New Roman"/>
                <w:sz w:val="24"/>
                <w:szCs w:val="24"/>
              </w:rPr>
            </w:pPr>
          </w:p>
        </w:tc>
        <w:tc>
          <w:tcPr>
            <w:tcW w:w="2220" w:type="dxa"/>
            <w:noWrap w:val="0"/>
            <w:vAlign w:val="center"/>
          </w:tcPr>
          <w:p w14:paraId="72E72B1A">
            <w:pPr>
              <w:ind w:firstLine="560"/>
              <w:jc w:val="center"/>
              <w:rPr>
                <w:rFonts w:hint="default" w:ascii="Times New Roman" w:hAnsi="Times New Roman" w:eastAsia="仿宋_GB2312" w:cs="Times New Roman"/>
                <w:sz w:val="24"/>
                <w:szCs w:val="24"/>
              </w:rPr>
            </w:pPr>
          </w:p>
        </w:tc>
      </w:tr>
      <w:tr w14:paraId="6B1829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0" w:hRule="atLeast"/>
        </w:trPr>
        <w:tc>
          <w:tcPr>
            <w:tcW w:w="747" w:type="dxa"/>
            <w:noWrap w:val="0"/>
            <w:vAlign w:val="center"/>
          </w:tcPr>
          <w:p w14:paraId="67BAABA3">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3</w:t>
            </w:r>
          </w:p>
        </w:tc>
        <w:tc>
          <w:tcPr>
            <w:tcW w:w="4820" w:type="dxa"/>
            <w:noWrap w:val="0"/>
            <w:vAlign w:val="center"/>
          </w:tcPr>
          <w:p w14:paraId="053330BC">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投标有效期为</w:t>
            </w:r>
            <w:r>
              <w:rPr>
                <w:rFonts w:hint="default" w:ascii="Times New Roman" w:hAnsi="Times New Roman" w:cs="Times New Roman"/>
                <w:bCs/>
                <w:sz w:val="24"/>
              </w:rPr>
              <w:t>开标之日后</w:t>
            </w:r>
            <w:r>
              <w:rPr>
                <w:rFonts w:hint="default" w:ascii="Times New Roman" w:hAnsi="Times New Roman" w:cs="Times New Roman"/>
                <w:sz w:val="24"/>
                <w:szCs w:val="24"/>
              </w:rPr>
              <w:t>60天</w:t>
            </w:r>
          </w:p>
        </w:tc>
        <w:tc>
          <w:tcPr>
            <w:tcW w:w="1843" w:type="dxa"/>
            <w:noWrap w:val="0"/>
            <w:vAlign w:val="center"/>
          </w:tcPr>
          <w:p w14:paraId="78A30374">
            <w:pPr>
              <w:ind w:firstLine="560"/>
              <w:jc w:val="center"/>
              <w:rPr>
                <w:rFonts w:hint="default" w:ascii="Times New Roman" w:hAnsi="Times New Roman" w:eastAsia="仿宋_GB2312" w:cs="Times New Roman"/>
                <w:sz w:val="24"/>
                <w:szCs w:val="24"/>
              </w:rPr>
            </w:pPr>
          </w:p>
        </w:tc>
        <w:tc>
          <w:tcPr>
            <w:tcW w:w="2220" w:type="dxa"/>
            <w:noWrap w:val="0"/>
            <w:vAlign w:val="center"/>
          </w:tcPr>
          <w:p w14:paraId="0542AD64">
            <w:pPr>
              <w:ind w:firstLine="560"/>
              <w:jc w:val="center"/>
              <w:rPr>
                <w:rFonts w:hint="default" w:ascii="Times New Roman" w:hAnsi="Times New Roman" w:eastAsia="仿宋_GB2312" w:cs="Times New Roman"/>
                <w:sz w:val="24"/>
                <w:szCs w:val="24"/>
              </w:rPr>
            </w:pPr>
          </w:p>
        </w:tc>
      </w:tr>
      <w:tr w14:paraId="5C2DCE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0BAB6CB6">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4</w:t>
            </w:r>
          </w:p>
        </w:tc>
        <w:tc>
          <w:tcPr>
            <w:tcW w:w="4820" w:type="dxa"/>
            <w:noWrap w:val="0"/>
            <w:vAlign w:val="center"/>
          </w:tcPr>
          <w:p w14:paraId="02AB41FF">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投标文件内容基本完整，无重大错漏，并按要求签署、盖章</w:t>
            </w:r>
          </w:p>
        </w:tc>
        <w:tc>
          <w:tcPr>
            <w:tcW w:w="1843" w:type="dxa"/>
            <w:noWrap w:val="0"/>
            <w:vAlign w:val="center"/>
          </w:tcPr>
          <w:p w14:paraId="3EB69E37">
            <w:pPr>
              <w:ind w:firstLine="560"/>
              <w:jc w:val="center"/>
              <w:rPr>
                <w:rFonts w:hint="default" w:ascii="Times New Roman" w:hAnsi="Times New Roman" w:eastAsia="仿宋_GB2312" w:cs="Times New Roman"/>
                <w:sz w:val="24"/>
                <w:szCs w:val="24"/>
              </w:rPr>
            </w:pPr>
          </w:p>
        </w:tc>
        <w:tc>
          <w:tcPr>
            <w:tcW w:w="2220" w:type="dxa"/>
            <w:noWrap w:val="0"/>
            <w:vAlign w:val="center"/>
          </w:tcPr>
          <w:p w14:paraId="0FE0285C">
            <w:pPr>
              <w:ind w:firstLine="560"/>
              <w:jc w:val="center"/>
              <w:rPr>
                <w:rFonts w:hint="default" w:ascii="Times New Roman" w:hAnsi="Times New Roman" w:eastAsia="仿宋_GB2312" w:cs="Times New Roman"/>
                <w:sz w:val="24"/>
                <w:szCs w:val="24"/>
              </w:rPr>
            </w:pPr>
          </w:p>
        </w:tc>
      </w:tr>
      <w:tr w14:paraId="5364D3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0C6BF21E">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5</w:t>
            </w:r>
          </w:p>
        </w:tc>
        <w:tc>
          <w:tcPr>
            <w:tcW w:w="4820" w:type="dxa"/>
            <w:noWrap w:val="0"/>
            <w:vAlign w:val="center"/>
          </w:tcPr>
          <w:p w14:paraId="72721A4B">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法定代表人/负责人资格证明书或授权委托书，按对应格式文件签署、盖章，真实有效</w:t>
            </w:r>
          </w:p>
        </w:tc>
        <w:tc>
          <w:tcPr>
            <w:tcW w:w="1843" w:type="dxa"/>
            <w:noWrap w:val="0"/>
            <w:vAlign w:val="center"/>
          </w:tcPr>
          <w:p w14:paraId="5AFCA534">
            <w:pPr>
              <w:ind w:firstLine="560"/>
              <w:jc w:val="center"/>
              <w:rPr>
                <w:rFonts w:hint="default" w:ascii="Times New Roman" w:hAnsi="Times New Roman" w:eastAsia="仿宋_GB2312" w:cs="Times New Roman"/>
                <w:sz w:val="24"/>
                <w:szCs w:val="24"/>
              </w:rPr>
            </w:pPr>
          </w:p>
        </w:tc>
        <w:tc>
          <w:tcPr>
            <w:tcW w:w="2220" w:type="dxa"/>
            <w:noWrap w:val="0"/>
            <w:vAlign w:val="center"/>
          </w:tcPr>
          <w:p w14:paraId="13E4916F">
            <w:pPr>
              <w:ind w:firstLine="560"/>
              <w:jc w:val="center"/>
              <w:rPr>
                <w:rFonts w:hint="default" w:ascii="Times New Roman" w:hAnsi="Times New Roman" w:eastAsia="仿宋_GB2312" w:cs="Times New Roman"/>
                <w:sz w:val="24"/>
                <w:szCs w:val="24"/>
              </w:rPr>
            </w:pPr>
          </w:p>
        </w:tc>
      </w:tr>
      <w:tr w14:paraId="74D6D2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562AD966">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6</w:t>
            </w:r>
          </w:p>
        </w:tc>
        <w:tc>
          <w:tcPr>
            <w:tcW w:w="4820" w:type="dxa"/>
            <w:noWrap w:val="0"/>
            <w:vAlign w:val="center"/>
          </w:tcPr>
          <w:p w14:paraId="1B1C17C0">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投标文件实质性响应招标文件技术和商务条款要求（</w:t>
            </w:r>
            <w:r>
              <w:rPr>
                <w:rFonts w:hint="default" w:ascii="Times New Roman" w:hAnsi="Times New Roman" w:cs="Times New Roman"/>
                <w:bCs/>
                <w:i/>
                <w:sz w:val="24"/>
                <w:u w:val="single"/>
              </w:rPr>
              <w:t>本招标文件中斜体且有下划线部分为实质性要求和条件</w:t>
            </w:r>
            <w:r>
              <w:rPr>
                <w:rFonts w:hint="default" w:ascii="Times New Roman" w:hAnsi="Times New Roman" w:cs="Times New Roman"/>
                <w:sz w:val="24"/>
                <w:szCs w:val="24"/>
              </w:rPr>
              <w:t>）</w:t>
            </w:r>
          </w:p>
        </w:tc>
        <w:tc>
          <w:tcPr>
            <w:tcW w:w="1843" w:type="dxa"/>
            <w:noWrap w:val="0"/>
            <w:vAlign w:val="center"/>
          </w:tcPr>
          <w:p w14:paraId="5BDD0A44">
            <w:pPr>
              <w:ind w:firstLine="560"/>
              <w:jc w:val="center"/>
              <w:rPr>
                <w:rFonts w:hint="default" w:ascii="Times New Roman" w:hAnsi="Times New Roman" w:eastAsia="仿宋_GB2312" w:cs="Times New Roman"/>
                <w:sz w:val="24"/>
                <w:szCs w:val="24"/>
              </w:rPr>
            </w:pPr>
          </w:p>
        </w:tc>
        <w:tc>
          <w:tcPr>
            <w:tcW w:w="2220" w:type="dxa"/>
            <w:noWrap w:val="0"/>
            <w:vAlign w:val="center"/>
          </w:tcPr>
          <w:p w14:paraId="1CE9CD38">
            <w:pPr>
              <w:ind w:firstLine="560"/>
              <w:jc w:val="center"/>
              <w:rPr>
                <w:rFonts w:hint="default" w:ascii="Times New Roman" w:hAnsi="Times New Roman" w:eastAsia="仿宋_GB2312" w:cs="Times New Roman"/>
                <w:sz w:val="24"/>
                <w:szCs w:val="24"/>
              </w:rPr>
            </w:pPr>
          </w:p>
        </w:tc>
      </w:tr>
      <w:tr w14:paraId="728F2E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331493AC">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4820" w:type="dxa"/>
            <w:noWrap w:val="0"/>
            <w:vAlign w:val="center"/>
          </w:tcPr>
          <w:p w14:paraId="75BC87C0">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无招标文件中规定的被视为无效响应的其它条款</w:t>
            </w:r>
          </w:p>
        </w:tc>
        <w:tc>
          <w:tcPr>
            <w:tcW w:w="1843" w:type="dxa"/>
            <w:noWrap w:val="0"/>
            <w:vAlign w:val="center"/>
          </w:tcPr>
          <w:p w14:paraId="6A63B99C">
            <w:pPr>
              <w:ind w:firstLine="560"/>
              <w:jc w:val="center"/>
              <w:rPr>
                <w:rFonts w:hint="default" w:ascii="Times New Roman" w:hAnsi="Times New Roman" w:eastAsia="仿宋_GB2312" w:cs="Times New Roman"/>
                <w:sz w:val="24"/>
                <w:szCs w:val="24"/>
              </w:rPr>
            </w:pPr>
          </w:p>
        </w:tc>
        <w:tc>
          <w:tcPr>
            <w:tcW w:w="2220" w:type="dxa"/>
            <w:noWrap w:val="0"/>
            <w:vAlign w:val="center"/>
          </w:tcPr>
          <w:p w14:paraId="417680F6">
            <w:pPr>
              <w:ind w:firstLine="560"/>
              <w:jc w:val="center"/>
              <w:rPr>
                <w:rFonts w:hint="default" w:ascii="Times New Roman" w:hAnsi="Times New Roman" w:eastAsia="仿宋_GB2312" w:cs="Times New Roman"/>
                <w:sz w:val="24"/>
                <w:szCs w:val="24"/>
              </w:rPr>
            </w:pPr>
          </w:p>
        </w:tc>
      </w:tr>
      <w:tr w14:paraId="7A7232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0" w:hRule="atLeast"/>
        </w:trPr>
        <w:tc>
          <w:tcPr>
            <w:tcW w:w="747" w:type="dxa"/>
            <w:noWrap w:val="0"/>
            <w:vAlign w:val="center"/>
          </w:tcPr>
          <w:p w14:paraId="0C1A2B3F">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8</w:t>
            </w:r>
          </w:p>
        </w:tc>
        <w:tc>
          <w:tcPr>
            <w:tcW w:w="4820" w:type="dxa"/>
            <w:noWrap w:val="0"/>
            <w:vAlign w:val="center"/>
          </w:tcPr>
          <w:p w14:paraId="25D04C87">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投标文件未含有采购人不能接受的附加条件</w:t>
            </w:r>
          </w:p>
        </w:tc>
        <w:tc>
          <w:tcPr>
            <w:tcW w:w="1843" w:type="dxa"/>
            <w:noWrap w:val="0"/>
            <w:vAlign w:val="center"/>
          </w:tcPr>
          <w:p w14:paraId="5C388E8A">
            <w:pPr>
              <w:ind w:firstLine="560"/>
              <w:jc w:val="center"/>
              <w:rPr>
                <w:rFonts w:hint="default" w:ascii="Times New Roman" w:hAnsi="Times New Roman" w:eastAsia="仿宋_GB2312" w:cs="Times New Roman"/>
                <w:sz w:val="24"/>
                <w:szCs w:val="24"/>
              </w:rPr>
            </w:pPr>
          </w:p>
        </w:tc>
        <w:tc>
          <w:tcPr>
            <w:tcW w:w="2220" w:type="dxa"/>
            <w:noWrap w:val="0"/>
            <w:vAlign w:val="center"/>
          </w:tcPr>
          <w:p w14:paraId="426E899E">
            <w:pPr>
              <w:ind w:firstLine="560"/>
              <w:jc w:val="center"/>
              <w:rPr>
                <w:rFonts w:hint="default" w:ascii="Times New Roman" w:hAnsi="Times New Roman" w:eastAsia="仿宋_GB2312" w:cs="Times New Roman"/>
                <w:sz w:val="24"/>
                <w:szCs w:val="24"/>
              </w:rPr>
            </w:pPr>
          </w:p>
        </w:tc>
      </w:tr>
      <w:tr w14:paraId="390184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0" w:hRule="atLeast"/>
        </w:trPr>
        <w:tc>
          <w:tcPr>
            <w:tcW w:w="747" w:type="dxa"/>
            <w:noWrap w:val="0"/>
            <w:vAlign w:val="center"/>
          </w:tcPr>
          <w:p w14:paraId="1BD80395">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9</w:t>
            </w:r>
          </w:p>
        </w:tc>
        <w:tc>
          <w:tcPr>
            <w:tcW w:w="4820" w:type="dxa"/>
            <w:noWrap w:val="0"/>
            <w:vAlign w:val="center"/>
          </w:tcPr>
          <w:p w14:paraId="06307AB6">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符合法律、法规规定的其他实质性要求</w:t>
            </w:r>
          </w:p>
        </w:tc>
        <w:tc>
          <w:tcPr>
            <w:tcW w:w="1843" w:type="dxa"/>
            <w:noWrap w:val="0"/>
            <w:vAlign w:val="center"/>
          </w:tcPr>
          <w:p w14:paraId="14AC80E5">
            <w:pPr>
              <w:ind w:firstLine="560"/>
              <w:jc w:val="center"/>
              <w:rPr>
                <w:rFonts w:hint="default" w:ascii="Times New Roman" w:hAnsi="Times New Roman" w:eastAsia="仿宋_GB2312" w:cs="Times New Roman"/>
                <w:sz w:val="24"/>
                <w:szCs w:val="24"/>
              </w:rPr>
            </w:pPr>
          </w:p>
        </w:tc>
        <w:tc>
          <w:tcPr>
            <w:tcW w:w="2220" w:type="dxa"/>
            <w:noWrap w:val="0"/>
            <w:vAlign w:val="center"/>
          </w:tcPr>
          <w:p w14:paraId="10968AA7">
            <w:pPr>
              <w:ind w:firstLine="560"/>
              <w:jc w:val="center"/>
              <w:rPr>
                <w:rFonts w:hint="default" w:ascii="Times New Roman" w:hAnsi="Times New Roman" w:eastAsia="仿宋_GB2312" w:cs="Times New Roman"/>
                <w:sz w:val="24"/>
                <w:szCs w:val="24"/>
              </w:rPr>
            </w:pPr>
          </w:p>
        </w:tc>
      </w:tr>
    </w:tbl>
    <w:p w14:paraId="6E5FFC8C">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rPr>
        <w:t>评分索引表</w:t>
      </w:r>
    </w:p>
    <w:tbl>
      <w:tblPr>
        <w:tblStyle w:val="31"/>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261"/>
        <w:gridCol w:w="3118"/>
        <w:gridCol w:w="2977"/>
      </w:tblGrid>
      <w:tr w14:paraId="1CB03A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B5B6E6B">
            <w:pPr>
              <w:jc w:val="center"/>
              <w:rPr>
                <w:rFonts w:hint="default" w:ascii="Times New Roman" w:hAnsi="Times New Roman" w:cs="Times New Roman"/>
                <w:b/>
                <w:sz w:val="24"/>
                <w:lang w:bidi="en-US"/>
              </w:rPr>
            </w:pPr>
            <w:r>
              <w:rPr>
                <w:rFonts w:hint="default" w:ascii="Times New Roman" w:hAnsi="Times New Roman" w:cs="Times New Roman"/>
                <w:b/>
                <w:sz w:val="24"/>
                <w:lang w:bidi="en-US"/>
              </w:rPr>
              <w:t>评审项目</w:t>
            </w:r>
          </w:p>
        </w:tc>
        <w:tc>
          <w:tcPr>
            <w:tcW w:w="3118" w:type="dxa"/>
            <w:noWrap w:val="0"/>
            <w:vAlign w:val="center"/>
          </w:tcPr>
          <w:p w14:paraId="2726869A">
            <w:pPr>
              <w:jc w:val="center"/>
              <w:rPr>
                <w:rFonts w:hint="default" w:ascii="Times New Roman" w:hAnsi="Times New Roman" w:cs="Times New Roman"/>
                <w:b/>
                <w:sz w:val="24"/>
                <w:lang w:bidi="en-US"/>
              </w:rPr>
            </w:pPr>
            <w:r>
              <w:rPr>
                <w:rFonts w:hint="default" w:ascii="Times New Roman" w:hAnsi="Times New Roman" w:cs="Times New Roman"/>
                <w:b/>
                <w:sz w:val="24"/>
                <w:lang w:bidi="en-US"/>
              </w:rPr>
              <w:t>响应情况</w:t>
            </w:r>
          </w:p>
        </w:tc>
        <w:tc>
          <w:tcPr>
            <w:tcW w:w="2977" w:type="dxa"/>
            <w:noWrap w:val="0"/>
            <w:vAlign w:val="center"/>
          </w:tcPr>
          <w:p w14:paraId="2DCABB98">
            <w:pPr>
              <w:jc w:val="center"/>
              <w:rPr>
                <w:rFonts w:hint="default" w:ascii="Times New Roman" w:hAnsi="Times New Roman" w:cs="Times New Roman"/>
                <w:b/>
                <w:sz w:val="24"/>
                <w:lang w:bidi="en-US"/>
              </w:rPr>
            </w:pPr>
            <w:r>
              <w:rPr>
                <w:rFonts w:hint="default" w:ascii="Times New Roman" w:hAnsi="Times New Roman" w:cs="Times New Roman"/>
                <w:b/>
                <w:sz w:val="24"/>
                <w:lang w:bidi="en-US"/>
              </w:rPr>
              <w:t>供应商制作的投标文件中的页码位置</w:t>
            </w:r>
          </w:p>
        </w:tc>
      </w:tr>
      <w:tr w14:paraId="734F43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0EB6AB16">
            <w:pPr>
              <w:rPr>
                <w:rFonts w:hint="default" w:ascii="Times New Roman" w:hAnsi="Times New Roman" w:cs="Times New Roman"/>
              </w:rPr>
            </w:pPr>
          </w:p>
        </w:tc>
        <w:tc>
          <w:tcPr>
            <w:tcW w:w="3118" w:type="dxa"/>
            <w:noWrap w:val="0"/>
            <w:vAlign w:val="top"/>
          </w:tcPr>
          <w:p w14:paraId="2BA56B4A">
            <w:pPr>
              <w:rPr>
                <w:rFonts w:hint="default" w:ascii="Times New Roman" w:hAnsi="Times New Roman" w:cs="Times New Roman"/>
                <w:sz w:val="20"/>
                <w:lang w:bidi="en-US"/>
              </w:rPr>
            </w:pPr>
          </w:p>
        </w:tc>
        <w:tc>
          <w:tcPr>
            <w:tcW w:w="2977" w:type="dxa"/>
            <w:noWrap w:val="0"/>
            <w:vAlign w:val="center"/>
          </w:tcPr>
          <w:p w14:paraId="41B92770">
            <w:pPr>
              <w:rPr>
                <w:rFonts w:hint="default" w:ascii="Times New Roman" w:hAnsi="Times New Roman" w:cs="Times New Roman"/>
                <w:sz w:val="20"/>
                <w:lang w:bidi="en-US"/>
              </w:rPr>
            </w:pPr>
          </w:p>
        </w:tc>
      </w:tr>
      <w:tr w14:paraId="66F4CE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4892669F">
            <w:pPr>
              <w:rPr>
                <w:rFonts w:hint="default" w:ascii="Times New Roman" w:hAnsi="Times New Roman" w:cs="Times New Roman"/>
              </w:rPr>
            </w:pPr>
          </w:p>
        </w:tc>
        <w:tc>
          <w:tcPr>
            <w:tcW w:w="3118" w:type="dxa"/>
            <w:noWrap w:val="0"/>
            <w:vAlign w:val="top"/>
          </w:tcPr>
          <w:p w14:paraId="330507AB">
            <w:pPr>
              <w:rPr>
                <w:rFonts w:hint="default" w:ascii="Times New Roman" w:hAnsi="Times New Roman" w:cs="Times New Roman"/>
              </w:rPr>
            </w:pPr>
          </w:p>
        </w:tc>
        <w:tc>
          <w:tcPr>
            <w:tcW w:w="2977" w:type="dxa"/>
            <w:noWrap w:val="0"/>
            <w:vAlign w:val="center"/>
          </w:tcPr>
          <w:p w14:paraId="15E5D841">
            <w:pPr>
              <w:rPr>
                <w:rFonts w:hint="default" w:ascii="Times New Roman" w:hAnsi="Times New Roman" w:cs="Times New Roman"/>
              </w:rPr>
            </w:pPr>
          </w:p>
        </w:tc>
      </w:tr>
      <w:tr w14:paraId="7C29B7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A8A99BC">
            <w:pPr>
              <w:rPr>
                <w:rFonts w:hint="default" w:ascii="Times New Roman" w:hAnsi="Times New Roman" w:cs="Times New Roman"/>
              </w:rPr>
            </w:pPr>
          </w:p>
        </w:tc>
        <w:tc>
          <w:tcPr>
            <w:tcW w:w="3118" w:type="dxa"/>
            <w:noWrap w:val="0"/>
            <w:vAlign w:val="top"/>
          </w:tcPr>
          <w:p w14:paraId="02C0015E">
            <w:pPr>
              <w:rPr>
                <w:rFonts w:hint="default" w:ascii="Times New Roman" w:hAnsi="Times New Roman" w:cs="Times New Roman"/>
              </w:rPr>
            </w:pPr>
          </w:p>
        </w:tc>
        <w:tc>
          <w:tcPr>
            <w:tcW w:w="2977" w:type="dxa"/>
            <w:noWrap w:val="0"/>
            <w:vAlign w:val="center"/>
          </w:tcPr>
          <w:p w14:paraId="0B0EE5AE">
            <w:pPr>
              <w:rPr>
                <w:rFonts w:hint="default" w:ascii="Times New Roman" w:hAnsi="Times New Roman" w:cs="Times New Roman"/>
              </w:rPr>
            </w:pPr>
          </w:p>
        </w:tc>
      </w:tr>
      <w:tr w14:paraId="44640D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F1B36D8">
            <w:pPr>
              <w:rPr>
                <w:rFonts w:hint="default" w:ascii="Times New Roman" w:hAnsi="Times New Roman" w:cs="Times New Roman"/>
              </w:rPr>
            </w:pPr>
          </w:p>
        </w:tc>
        <w:tc>
          <w:tcPr>
            <w:tcW w:w="3118" w:type="dxa"/>
            <w:noWrap w:val="0"/>
            <w:vAlign w:val="top"/>
          </w:tcPr>
          <w:p w14:paraId="50BE96B8">
            <w:pPr>
              <w:rPr>
                <w:rFonts w:hint="default" w:ascii="Times New Roman" w:hAnsi="Times New Roman" w:cs="Times New Roman"/>
              </w:rPr>
            </w:pPr>
          </w:p>
        </w:tc>
        <w:tc>
          <w:tcPr>
            <w:tcW w:w="2977" w:type="dxa"/>
            <w:noWrap w:val="0"/>
            <w:vAlign w:val="center"/>
          </w:tcPr>
          <w:p w14:paraId="50E98F0A">
            <w:pPr>
              <w:rPr>
                <w:rFonts w:hint="default" w:ascii="Times New Roman" w:hAnsi="Times New Roman" w:cs="Times New Roman"/>
              </w:rPr>
            </w:pPr>
          </w:p>
        </w:tc>
      </w:tr>
      <w:tr w14:paraId="696EEE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21E31DC2">
            <w:pPr>
              <w:rPr>
                <w:rFonts w:hint="default" w:ascii="Times New Roman" w:hAnsi="Times New Roman" w:cs="Times New Roman"/>
              </w:rPr>
            </w:pPr>
          </w:p>
        </w:tc>
        <w:tc>
          <w:tcPr>
            <w:tcW w:w="3118" w:type="dxa"/>
            <w:noWrap w:val="0"/>
            <w:vAlign w:val="top"/>
          </w:tcPr>
          <w:p w14:paraId="2250DC24">
            <w:pPr>
              <w:rPr>
                <w:rFonts w:hint="default" w:ascii="Times New Roman" w:hAnsi="Times New Roman" w:cs="Times New Roman"/>
              </w:rPr>
            </w:pPr>
          </w:p>
        </w:tc>
        <w:tc>
          <w:tcPr>
            <w:tcW w:w="2977" w:type="dxa"/>
            <w:noWrap w:val="0"/>
            <w:vAlign w:val="center"/>
          </w:tcPr>
          <w:p w14:paraId="24728B29">
            <w:pPr>
              <w:rPr>
                <w:rFonts w:hint="default" w:ascii="Times New Roman" w:hAnsi="Times New Roman" w:cs="Times New Roman"/>
              </w:rPr>
            </w:pPr>
          </w:p>
        </w:tc>
      </w:tr>
      <w:tr w14:paraId="1484C9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7207439C">
            <w:pPr>
              <w:rPr>
                <w:rFonts w:hint="default" w:ascii="Times New Roman" w:hAnsi="Times New Roman" w:cs="Times New Roman"/>
              </w:rPr>
            </w:pPr>
          </w:p>
        </w:tc>
        <w:tc>
          <w:tcPr>
            <w:tcW w:w="3118" w:type="dxa"/>
            <w:noWrap w:val="0"/>
            <w:vAlign w:val="top"/>
          </w:tcPr>
          <w:p w14:paraId="78211447">
            <w:pPr>
              <w:rPr>
                <w:rFonts w:hint="default" w:ascii="Times New Roman" w:hAnsi="Times New Roman" w:cs="Times New Roman"/>
              </w:rPr>
            </w:pPr>
          </w:p>
        </w:tc>
        <w:tc>
          <w:tcPr>
            <w:tcW w:w="2977" w:type="dxa"/>
            <w:noWrap w:val="0"/>
            <w:vAlign w:val="center"/>
          </w:tcPr>
          <w:p w14:paraId="1C7587BE">
            <w:pPr>
              <w:rPr>
                <w:rFonts w:hint="default" w:ascii="Times New Roman" w:hAnsi="Times New Roman" w:cs="Times New Roman"/>
              </w:rPr>
            </w:pPr>
          </w:p>
        </w:tc>
      </w:tr>
      <w:tr w14:paraId="0DB607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7F9A438B">
            <w:pPr>
              <w:rPr>
                <w:rFonts w:hint="default" w:ascii="Times New Roman" w:hAnsi="Times New Roman" w:cs="Times New Roman"/>
              </w:rPr>
            </w:pPr>
          </w:p>
        </w:tc>
        <w:tc>
          <w:tcPr>
            <w:tcW w:w="3118" w:type="dxa"/>
            <w:noWrap w:val="0"/>
            <w:vAlign w:val="top"/>
          </w:tcPr>
          <w:p w14:paraId="24B94070">
            <w:pPr>
              <w:rPr>
                <w:rFonts w:hint="default" w:ascii="Times New Roman" w:hAnsi="Times New Roman" w:cs="Times New Roman"/>
              </w:rPr>
            </w:pPr>
          </w:p>
        </w:tc>
        <w:tc>
          <w:tcPr>
            <w:tcW w:w="2977" w:type="dxa"/>
            <w:noWrap w:val="0"/>
            <w:vAlign w:val="center"/>
          </w:tcPr>
          <w:p w14:paraId="24DA6B70">
            <w:pPr>
              <w:rPr>
                <w:rFonts w:hint="default" w:ascii="Times New Roman" w:hAnsi="Times New Roman" w:cs="Times New Roman"/>
              </w:rPr>
            </w:pPr>
          </w:p>
        </w:tc>
      </w:tr>
      <w:tr w14:paraId="59EB53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917C637">
            <w:pPr>
              <w:rPr>
                <w:rFonts w:hint="default" w:ascii="Times New Roman" w:hAnsi="Times New Roman" w:cs="Times New Roman"/>
              </w:rPr>
            </w:pPr>
          </w:p>
        </w:tc>
        <w:tc>
          <w:tcPr>
            <w:tcW w:w="3118" w:type="dxa"/>
            <w:noWrap w:val="0"/>
            <w:vAlign w:val="top"/>
          </w:tcPr>
          <w:p w14:paraId="18E5E60E">
            <w:pPr>
              <w:rPr>
                <w:rFonts w:hint="default" w:ascii="Times New Roman" w:hAnsi="Times New Roman" w:cs="Times New Roman"/>
              </w:rPr>
            </w:pPr>
          </w:p>
        </w:tc>
        <w:tc>
          <w:tcPr>
            <w:tcW w:w="2977" w:type="dxa"/>
            <w:noWrap w:val="0"/>
            <w:vAlign w:val="center"/>
          </w:tcPr>
          <w:p w14:paraId="0F532E19">
            <w:pPr>
              <w:rPr>
                <w:rFonts w:hint="default" w:ascii="Times New Roman" w:hAnsi="Times New Roman" w:cs="Times New Roman"/>
              </w:rPr>
            </w:pPr>
          </w:p>
        </w:tc>
      </w:tr>
      <w:tr w14:paraId="49328B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2010CA2">
            <w:pPr>
              <w:rPr>
                <w:rFonts w:hint="default" w:ascii="Times New Roman" w:hAnsi="Times New Roman" w:cs="Times New Roman"/>
              </w:rPr>
            </w:pPr>
          </w:p>
        </w:tc>
        <w:tc>
          <w:tcPr>
            <w:tcW w:w="3118" w:type="dxa"/>
            <w:noWrap w:val="0"/>
            <w:vAlign w:val="top"/>
          </w:tcPr>
          <w:p w14:paraId="0B7B6F35">
            <w:pPr>
              <w:rPr>
                <w:rFonts w:hint="default" w:ascii="Times New Roman" w:hAnsi="Times New Roman" w:cs="Times New Roman"/>
              </w:rPr>
            </w:pPr>
          </w:p>
        </w:tc>
        <w:tc>
          <w:tcPr>
            <w:tcW w:w="2977" w:type="dxa"/>
            <w:noWrap w:val="0"/>
            <w:vAlign w:val="center"/>
          </w:tcPr>
          <w:p w14:paraId="26F2C277">
            <w:pPr>
              <w:rPr>
                <w:rFonts w:hint="default" w:ascii="Times New Roman" w:hAnsi="Times New Roman" w:cs="Times New Roman"/>
              </w:rPr>
            </w:pPr>
          </w:p>
        </w:tc>
      </w:tr>
      <w:tr w14:paraId="27B0E1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B6C8F6E">
            <w:pPr>
              <w:rPr>
                <w:rFonts w:hint="default" w:ascii="Times New Roman" w:hAnsi="Times New Roman" w:cs="Times New Roman"/>
              </w:rPr>
            </w:pPr>
          </w:p>
        </w:tc>
        <w:tc>
          <w:tcPr>
            <w:tcW w:w="3118" w:type="dxa"/>
            <w:noWrap w:val="0"/>
            <w:vAlign w:val="top"/>
          </w:tcPr>
          <w:p w14:paraId="3F959D66">
            <w:pPr>
              <w:rPr>
                <w:rFonts w:hint="default" w:ascii="Times New Roman" w:hAnsi="Times New Roman" w:cs="Times New Roman"/>
              </w:rPr>
            </w:pPr>
          </w:p>
        </w:tc>
        <w:tc>
          <w:tcPr>
            <w:tcW w:w="2977" w:type="dxa"/>
            <w:noWrap w:val="0"/>
            <w:vAlign w:val="center"/>
          </w:tcPr>
          <w:p w14:paraId="1DF9527D">
            <w:pPr>
              <w:rPr>
                <w:rFonts w:hint="default" w:ascii="Times New Roman" w:hAnsi="Times New Roman" w:cs="Times New Roman"/>
              </w:rPr>
            </w:pPr>
          </w:p>
        </w:tc>
      </w:tr>
    </w:tbl>
    <w:p w14:paraId="14A50FE1">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color w:val="000000"/>
          <w:szCs w:val="30"/>
        </w:rPr>
        <w:br w:type="page" w:clear="all"/>
      </w:r>
      <w:r>
        <w:rPr>
          <w:rFonts w:hint="default" w:ascii="Times New Roman" w:hAnsi="Times New Roman" w:cs="Times New Roman"/>
        </w:rPr>
        <w:t>1、</w:t>
      </w:r>
      <w:bookmarkStart w:id="205" w:name="_Toc526070444"/>
      <w:r>
        <w:rPr>
          <w:rFonts w:hint="default" w:ascii="Times New Roman" w:hAnsi="Times New Roman" w:cs="Times New Roman"/>
        </w:rPr>
        <w:t>开标一览表</w:t>
      </w:r>
      <w:bookmarkEnd w:id="205"/>
    </w:p>
    <w:p w14:paraId="5CBE0C46">
      <w:pPr>
        <w:rPr>
          <w:rFonts w:hint="default" w:ascii="Times New Roman" w:hAnsi="Times New Roman" w:cs="Times New Roman"/>
          <w:sz w:val="24"/>
        </w:rPr>
      </w:pPr>
      <w:r>
        <w:rPr>
          <w:rFonts w:hint="default" w:ascii="Times New Roman" w:hAnsi="Times New Roman" w:cs="Times New Roman"/>
          <w:sz w:val="24"/>
        </w:rPr>
        <w:t xml:space="preserve">项目名称：                               </w:t>
      </w:r>
    </w:p>
    <w:p w14:paraId="739FA54E">
      <w:pPr>
        <w:rPr>
          <w:rFonts w:hint="default" w:ascii="Times New Roman" w:hAnsi="Times New Roman" w:cs="Times New Roman"/>
          <w:sz w:val="24"/>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p>
    <w:tbl>
      <w:tblPr>
        <w:tblStyle w:val="31"/>
        <w:tblW w:w="916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98"/>
        <w:gridCol w:w="6467"/>
      </w:tblGrid>
      <w:tr w14:paraId="396B17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545" w:hRule="atLeast"/>
          <w:jc w:val="center"/>
        </w:trPr>
        <w:tc>
          <w:tcPr>
            <w:tcW w:w="2698" w:type="dxa"/>
            <w:noWrap w:val="0"/>
            <w:vAlign w:val="center"/>
          </w:tcPr>
          <w:p w14:paraId="454A25FA">
            <w:pPr>
              <w:spacing w:before="120" w:after="120"/>
              <w:jc w:val="center"/>
              <w:rPr>
                <w:rFonts w:hint="default" w:ascii="Times New Roman" w:hAnsi="Times New Roman" w:cs="Times New Roman"/>
                <w:sz w:val="24"/>
              </w:rPr>
            </w:pPr>
            <w:r>
              <w:rPr>
                <w:rFonts w:hint="default" w:ascii="Times New Roman" w:hAnsi="Times New Roman" w:cs="Times New Roman"/>
                <w:sz w:val="24"/>
              </w:rPr>
              <w:t>投标报价</w:t>
            </w:r>
          </w:p>
        </w:tc>
        <w:tc>
          <w:tcPr>
            <w:tcW w:w="6467" w:type="dxa"/>
            <w:noWrap w:val="0"/>
            <w:vAlign w:val="center"/>
          </w:tcPr>
          <w:p w14:paraId="02A0CD72">
            <w:pPr>
              <w:spacing w:before="120" w:after="120"/>
              <w:rPr>
                <w:rFonts w:hint="default" w:ascii="Times New Roman" w:hAnsi="Times New Roman" w:cs="Times New Roman"/>
                <w:sz w:val="24"/>
              </w:rPr>
            </w:pPr>
            <w:r>
              <w:rPr>
                <w:rFonts w:hint="default" w:ascii="Times New Roman" w:hAnsi="Times New Roman" w:cs="Times New Roman"/>
                <w:sz w:val="24"/>
              </w:rPr>
              <w:t>大写：</w:t>
            </w:r>
          </w:p>
          <w:p w14:paraId="31AC9780">
            <w:pPr>
              <w:spacing w:before="120" w:after="120"/>
              <w:rPr>
                <w:rFonts w:hint="default" w:ascii="Times New Roman" w:hAnsi="Times New Roman" w:cs="Times New Roman"/>
                <w:sz w:val="24"/>
              </w:rPr>
            </w:pPr>
            <w:r>
              <w:rPr>
                <w:rFonts w:hint="default" w:ascii="Times New Roman" w:hAnsi="Times New Roman" w:cs="Times New Roman"/>
                <w:sz w:val="24"/>
              </w:rPr>
              <w:t>小写：</w:t>
            </w:r>
          </w:p>
        </w:tc>
      </w:tr>
      <w:tr w14:paraId="3407FC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97" w:hRule="atLeast"/>
          <w:jc w:val="center"/>
        </w:trPr>
        <w:tc>
          <w:tcPr>
            <w:tcW w:w="2698" w:type="dxa"/>
            <w:noWrap w:val="0"/>
            <w:vAlign w:val="center"/>
          </w:tcPr>
          <w:p w14:paraId="2DAB31D6">
            <w:pPr>
              <w:spacing w:before="120" w:after="120"/>
              <w:jc w:val="center"/>
              <w:rPr>
                <w:rFonts w:hint="default" w:ascii="Times New Roman" w:hAnsi="Times New Roman" w:cs="Times New Roman"/>
                <w:sz w:val="24"/>
              </w:rPr>
            </w:pPr>
            <w:r>
              <w:rPr>
                <w:rFonts w:hint="default" w:ascii="Times New Roman" w:hAnsi="Times New Roman" w:cs="Times New Roman"/>
                <w:sz w:val="24"/>
              </w:rPr>
              <w:t>交货时间</w:t>
            </w:r>
          </w:p>
        </w:tc>
        <w:tc>
          <w:tcPr>
            <w:tcW w:w="6467" w:type="dxa"/>
            <w:noWrap w:val="0"/>
            <w:vAlign w:val="center"/>
          </w:tcPr>
          <w:p w14:paraId="0B671EB9">
            <w:pPr>
              <w:spacing w:before="120" w:after="120"/>
              <w:rPr>
                <w:rFonts w:hint="default" w:ascii="Times New Roman" w:hAnsi="Times New Roman" w:cs="Times New Roman"/>
                <w:b/>
                <w:sz w:val="24"/>
              </w:rPr>
            </w:pPr>
          </w:p>
        </w:tc>
      </w:tr>
    </w:tbl>
    <w:p w14:paraId="7C0D3008">
      <w:pPr>
        <w:pStyle w:val="189"/>
        <w:ind w:hanging="105"/>
        <w:rPr>
          <w:rFonts w:hint="default" w:ascii="Times New Roman" w:hAnsi="Times New Roman" w:cs="Times New Roman"/>
        </w:rPr>
      </w:pPr>
    </w:p>
    <w:p w14:paraId="0F41B862">
      <w:pPr>
        <w:pStyle w:val="189"/>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2EAFB508">
      <w:pPr>
        <w:pStyle w:val="189"/>
        <w:spacing w:line="500" w:lineRule="exact"/>
        <w:ind w:left="15" w:hanging="120"/>
        <w:rPr>
          <w:rFonts w:hint="default" w:ascii="Times New Roman" w:hAnsi="Times New Roman" w:cs="Times New Roman"/>
          <w:sz w:val="24"/>
          <w:szCs w:val="24"/>
        </w:rPr>
      </w:pPr>
    </w:p>
    <w:p w14:paraId="595C0722">
      <w:pPr>
        <w:pStyle w:val="189"/>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075C099A">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7127689E">
      <w:pPr>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4148F98C">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1、投标报价包括货物价、包装费、运输、调换、技术服务、必不可少的部件等费用，以及已支付或将支付的营业税和其它税费；</w:t>
      </w:r>
    </w:p>
    <w:p w14:paraId="4B35B4BD">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w:t>
      </w:r>
      <w:r>
        <w:rPr>
          <w:rFonts w:hint="default" w:ascii="Times New Roman" w:hAnsi="Times New Roman" w:cs="Times New Roman"/>
          <w:b/>
          <w:i/>
          <w:sz w:val="24"/>
          <w:szCs w:val="24"/>
          <w:u w:val="single"/>
        </w:rPr>
        <w:t>此表是投标文件的必要文件，是投标文件的组成部分，需单独准备一份封装在信封中，作为唱标之用，在投标截止时间前与投标文件分别递交，否则视为无效投标；</w:t>
      </w:r>
    </w:p>
    <w:p w14:paraId="368F1447">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3、</w:t>
      </w:r>
      <w:r>
        <w:rPr>
          <w:rFonts w:hint="default" w:ascii="Times New Roman" w:hAnsi="Times New Roman" w:cs="Times New Roman"/>
          <w:b/>
          <w:i/>
          <w:sz w:val="24"/>
          <w:szCs w:val="24"/>
          <w:u w:val="single"/>
        </w:rPr>
        <w:t>开标一览表必须加盖供应商公章，并经法定代表人或授权代表签字；</w:t>
      </w:r>
    </w:p>
    <w:p w14:paraId="2CE8C7B9">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4、投标报价应与标书中分项报价中总价相一致，如有不一致内容按开标一览表内容为准；</w:t>
      </w:r>
    </w:p>
    <w:p w14:paraId="75B33D64">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5、未按规定填报表中内容的，将不予唱标。</w:t>
      </w:r>
    </w:p>
    <w:p w14:paraId="0D792198">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bCs w:val="0"/>
        </w:rPr>
        <w:br w:type="page" w:clear="all"/>
      </w:r>
      <w:r>
        <w:rPr>
          <w:rFonts w:hint="default" w:ascii="Times New Roman" w:hAnsi="Times New Roman" w:cs="Times New Roman"/>
        </w:rPr>
        <w:t>1.1投标产品配置及分项报价表</w:t>
      </w:r>
    </w:p>
    <w:p w14:paraId="1C557F46">
      <w:pPr>
        <w:tabs>
          <w:tab w:val="left" w:pos="5655"/>
        </w:tabs>
        <w:jc w:val="right"/>
        <w:rPr>
          <w:rFonts w:hint="default" w:ascii="Times New Roman" w:hAnsi="Times New Roman" w:cs="Times New Roman"/>
          <w:sz w:val="24"/>
          <w:szCs w:val="24"/>
        </w:rPr>
      </w:pPr>
      <w:r>
        <w:rPr>
          <w:rFonts w:hint="default" w:ascii="Times New Roman" w:hAnsi="Times New Roman" w:cs="Times New Roman"/>
          <w:sz w:val="24"/>
          <w:szCs w:val="24"/>
        </w:rPr>
        <w:t>价格单位：人民币元</w:t>
      </w:r>
    </w:p>
    <w:tbl>
      <w:tblPr>
        <w:tblStyle w:val="31"/>
        <w:tblW w:w="7995" w:type="dxa"/>
        <w:jc w:val="center"/>
        <w:tblLayout w:type="fixed"/>
        <w:tblCellMar>
          <w:top w:w="0" w:type="dxa"/>
          <w:left w:w="30" w:type="dxa"/>
          <w:bottom w:w="0" w:type="dxa"/>
          <w:right w:w="30" w:type="dxa"/>
        </w:tblCellMar>
      </w:tblPr>
      <w:tblGrid>
        <w:gridCol w:w="2245"/>
        <w:gridCol w:w="1380"/>
        <w:gridCol w:w="2160"/>
        <w:gridCol w:w="540"/>
        <w:gridCol w:w="720"/>
        <w:gridCol w:w="950"/>
      </w:tblGrid>
      <w:tr w14:paraId="0BA5305A">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3B784B02">
            <w:pPr>
              <w:jc w:val="center"/>
              <w:rPr>
                <w:rFonts w:hint="default" w:ascii="Times New Roman" w:hAnsi="Times New Roman" w:cs="Times New Roman"/>
              </w:rPr>
            </w:pPr>
            <w:r>
              <w:rPr>
                <w:rFonts w:hint="default" w:ascii="Times New Roman" w:hAnsi="Times New Roman" w:cs="Times New Roman"/>
              </w:rPr>
              <w:t>货物名称</w:t>
            </w: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7FDF637C">
            <w:pPr>
              <w:jc w:val="center"/>
              <w:rPr>
                <w:rFonts w:hint="default" w:ascii="Times New Roman" w:hAnsi="Times New Roman" w:cs="Times New Roman"/>
              </w:rPr>
            </w:pPr>
            <w:r>
              <w:rPr>
                <w:rFonts w:hint="default" w:ascii="Times New Roman" w:hAnsi="Times New Roman" w:cs="Times New Roman"/>
              </w:rPr>
              <w:t>品牌</w:t>
            </w: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2BDB5286">
            <w:pPr>
              <w:jc w:val="center"/>
              <w:rPr>
                <w:rFonts w:hint="default" w:ascii="Times New Roman" w:hAnsi="Times New Roman" w:cs="Times New Roman"/>
              </w:rPr>
            </w:pPr>
            <w:r>
              <w:rPr>
                <w:rFonts w:hint="default" w:ascii="Times New Roman" w:hAnsi="Times New Roman" w:cs="Times New Roman"/>
              </w:rPr>
              <w:t>规格/型号</w:t>
            </w: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095281E1">
            <w:pPr>
              <w:jc w:val="center"/>
              <w:rPr>
                <w:rFonts w:hint="default" w:ascii="Times New Roman" w:hAnsi="Times New Roman" w:cs="Times New Roman"/>
              </w:rPr>
            </w:pPr>
            <w:r>
              <w:rPr>
                <w:rFonts w:hint="default" w:ascii="Times New Roman" w:hAnsi="Times New Roman" w:cs="Times New Roman"/>
              </w:rPr>
              <w:t>数量</w:t>
            </w: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00D7482D">
            <w:pPr>
              <w:jc w:val="center"/>
              <w:rPr>
                <w:rFonts w:hint="default" w:ascii="Times New Roman" w:hAnsi="Times New Roman" w:cs="Times New Roman"/>
              </w:rPr>
            </w:pPr>
            <w:r>
              <w:rPr>
                <w:rFonts w:hint="default" w:ascii="Times New Roman" w:hAnsi="Times New Roman" w:cs="Times New Roman"/>
              </w:rPr>
              <w:t>单价</w:t>
            </w: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21B39DC5">
            <w:pPr>
              <w:jc w:val="center"/>
              <w:rPr>
                <w:rFonts w:hint="default" w:ascii="Times New Roman" w:hAnsi="Times New Roman" w:cs="Times New Roman"/>
              </w:rPr>
            </w:pPr>
            <w:r>
              <w:rPr>
                <w:rFonts w:hint="default" w:ascii="Times New Roman" w:hAnsi="Times New Roman" w:cs="Times New Roman"/>
              </w:rPr>
              <w:t>总价</w:t>
            </w:r>
          </w:p>
        </w:tc>
      </w:tr>
      <w:tr w14:paraId="5D272504">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715586D9">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261199E2">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079F4DAD">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71EE418B">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0CD9CB8B">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1576669D">
            <w:pPr>
              <w:jc w:val="center"/>
              <w:rPr>
                <w:rFonts w:hint="default" w:ascii="Times New Roman" w:hAnsi="Times New Roman" w:cs="Times New Roman"/>
              </w:rPr>
            </w:pPr>
          </w:p>
        </w:tc>
      </w:tr>
      <w:tr w14:paraId="0436DE95">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7A31B516">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2D3EB9E9">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5F2A46CD">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256456D1">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7583953B">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3BF03187">
            <w:pPr>
              <w:jc w:val="center"/>
              <w:rPr>
                <w:rFonts w:hint="default" w:ascii="Times New Roman" w:hAnsi="Times New Roman" w:cs="Times New Roman"/>
              </w:rPr>
            </w:pPr>
          </w:p>
        </w:tc>
      </w:tr>
      <w:tr w14:paraId="1A900F2F">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53A1D5F6">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4E8AC521">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443C217B">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3D034283">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0A154E74">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72D9DA27">
            <w:pPr>
              <w:jc w:val="center"/>
              <w:rPr>
                <w:rFonts w:hint="default" w:ascii="Times New Roman" w:hAnsi="Times New Roman" w:cs="Times New Roman"/>
              </w:rPr>
            </w:pPr>
          </w:p>
        </w:tc>
      </w:tr>
      <w:tr w14:paraId="35D8A861">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405E6961">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2EF90965">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04C2A32F">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2B322980">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7570CDB5">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78E8ECCA">
            <w:pPr>
              <w:jc w:val="center"/>
              <w:rPr>
                <w:rFonts w:hint="default" w:ascii="Times New Roman" w:hAnsi="Times New Roman" w:cs="Times New Roman"/>
              </w:rPr>
            </w:pPr>
          </w:p>
        </w:tc>
      </w:tr>
      <w:tr w14:paraId="7835FACD">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36AE8D9A">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4D1768A0">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1A1F0FAF">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43D183C4">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5B5543B9">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5BBA52CD">
            <w:pPr>
              <w:jc w:val="center"/>
              <w:rPr>
                <w:rFonts w:hint="default" w:ascii="Times New Roman" w:hAnsi="Times New Roman" w:cs="Times New Roman"/>
              </w:rPr>
            </w:pPr>
          </w:p>
        </w:tc>
      </w:tr>
      <w:tr w14:paraId="069CED21">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6E155DE2">
            <w:pPr>
              <w:jc w:val="center"/>
              <w:rPr>
                <w:rFonts w:hint="default" w:ascii="Times New Roman" w:hAnsi="Times New Roman" w:cs="Times New Roman"/>
              </w:rPr>
            </w:pPr>
            <w:r>
              <w:rPr>
                <w:rFonts w:hint="default" w:ascii="Times New Roman" w:hAnsi="Times New Roman" w:cs="Times New Roman"/>
              </w:rPr>
              <w:t>合计</w:t>
            </w:r>
          </w:p>
        </w:tc>
        <w:tc>
          <w:tcPr>
            <w:tcW w:w="5750" w:type="dxa"/>
            <w:gridSpan w:val="5"/>
            <w:tcBorders>
              <w:top w:val="single" w:color="000000" w:sz="6" w:space="0"/>
              <w:left w:val="single" w:color="000000" w:sz="6" w:space="0"/>
              <w:bottom w:val="single" w:color="000000" w:sz="6" w:space="0"/>
              <w:right w:val="single" w:color="000000" w:sz="6" w:space="0"/>
            </w:tcBorders>
            <w:noWrap w:val="0"/>
            <w:vAlign w:val="center"/>
          </w:tcPr>
          <w:p w14:paraId="747CFDB2">
            <w:pPr>
              <w:jc w:val="center"/>
              <w:rPr>
                <w:rFonts w:hint="default" w:ascii="Times New Roman" w:hAnsi="Times New Roman" w:cs="Times New Roman"/>
              </w:rPr>
            </w:pPr>
          </w:p>
        </w:tc>
      </w:tr>
    </w:tbl>
    <w:p w14:paraId="08D5D29E">
      <w:pPr>
        <w:rPr>
          <w:rFonts w:hint="default" w:ascii="Times New Roman" w:hAnsi="Times New Roman" w:cs="Times New Roman"/>
          <w:sz w:val="24"/>
          <w:szCs w:val="24"/>
        </w:rPr>
      </w:pPr>
    </w:p>
    <w:p w14:paraId="3AF8DF37">
      <w:pPr>
        <w:pStyle w:val="189"/>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5C7E04F8">
      <w:pPr>
        <w:pStyle w:val="189"/>
        <w:spacing w:line="500" w:lineRule="exact"/>
        <w:ind w:left="15" w:hanging="120"/>
        <w:rPr>
          <w:rFonts w:hint="default" w:ascii="Times New Roman" w:hAnsi="Times New Roman" w:cs="Times New Roman"/>
          <w:sz w:val="24"/>
          <w:szCs w:val="24"/>
        </w:rPr>
      </w:pPr>
    </w:p>
    <w:p w14:paraId="41FFCAB4">
      <w:pPr>
        <w:pStyle w:val="189"/>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70720CAF">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20174527">
      <w:pPr>
        <w:rPr>
          <w:rFonts w:hint="default" w:ascii="Times New Roman" w:hAnsi="Times New Roman" w:cs="Times New Roman"/>
          <w:sz w:val="24"/>
          <w:szCs w:val="24"/>
        </w:rPr>
      </w:pPr>
    </w:p>
    <w:p w14:paraId="4EBE5898">
      <w:pPr>
        <w:rPr>
          <w:rFonts w:hint="default" w:ascii="Times New Roman" w:hAnsi="Times New Roman" w:cs="Times New Roman"/>
          <w:sz w:val="24"/>
          <w:szCs w:val="24"/>
        </w:rPr>
      </w:pPr>
    </w:p>
    <w:p w14:paraId="694C595B">
      <w:pPr>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636944EA">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1、此表为表样，行数可自行添加，但表式不变；</w:t>
      </w:r>
    </w:p>
    <w:p w14:paraId="120ADC75">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2、相关调换费用、质保后续服务及其他所有费用由供应商自行计算填列。</w:t>
      </w:r>
    </w:p>
    <w:p w14:paraId="6FF06126">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rPr>
        <w:t>2．投 标 函</w:t>
      </w:r>
    </w:p>
    <w:p w14:paraId="1B46713D">
      <w:pPr>
        <w:pStyle w:val="306"/>
        <w:spacing w:before="0" w:after="0" w:line="420" w:lineRule="exact"/>
        <w:ind w:firstLine="0"/>
        <w:rPr>
          <w:rFonts w:hint="default" w:ascii="Times New Roman" w:hAnsi="Times New Roman" w:cs="Times New Roman"/>
          <w:szCs w:val="21"/>
        </w:rPr>
      </w:pPr>
      <w:r>
        <w:rPr>
          <w:rFonts w:hint="default" w:ascii="Times New Roman" w:hAnsi="Times New Roman" w:cs="Times New Roman"/>
          <w:szCs w:val="21"/>
        </w:rPr>
        <w:t>致：江苏省体育装备中心</w:t>
      </w:r>
    </w:p>
    <w:p w14:paraId="0ED86F37">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根据贵方</w:t>
      </w:r>
      <w:r>
        <w:rPr>
          <w:rFonts w:hint="default" w:ascii="Times New Roman" w:hAnsi="Times New Roman" w:cs="Times New Roman"/>
          <w:szCs w:val="21"/>
          <w:u w:val="single"/>
        </w:rPr>
        <w:t xml:space="preserve">         </w:t>
      </w:r>
      <w:r>
        <w:rPr>
          <w:rFonts w:hint="default" w:ascii="Times New Roman" w:hAnsi="Times New Roman" w:cs="Times New Roman"/>
          <w:szCs w:val="21"/>
        </w:rPr>
        <w:t>（项目名称、项目编号）的招标邀请，正式授权下述签字人</w:t>
      </w:r>
      <w:r>
        <w:rPr>
          <w:rFonts w:hint="default" w:ascii="Times New Roman" w:hAnsi="Times New Roman" w:cs="Times New Roman"/>
          <w:szCs w:val="21"/>
          <w:u w:val="single"/>
        </w:rPr>
        <w:t xml:space="preserve">           </w:t>
      </w:r>
      <w:r>
        <w:rPr>
          <w:rFonts w:hint="default" w:ascii="Times New Roman" w:hAnsi="Times New Roman" w:cs="Times New Roman"/>
          <w:szCs w:val="21"/>
        </w:rPr>
        <w:t xml:space="preserve">  (姓名和职务)代表我方________（供应商名称），提交纸质版投标文件（正本一式壹份，副本一式</w:t>
      </w:r>
      <w:r>
        <w:rPr>
          <w:rFonts w:hint="default" w:ascii="Times New Roman" w:hAnsi="Times New Roman" w:cs="Times New Roman"/>
          <w:szCs w:val="21"/>
          <w:highlight w:val="white"/>
          <w:lang w:val="en-US" w:eastAsia="zh-CN"/>
        </w:rPr>
        <w:t>肆</w:t>
      </w:r>
      <w:r>
        <w:rPr>
          <w:rFonts w:hint="default" w:ascii="Times New Roman" w:hAnsi="Times New Roman" w:cs="Times New Roman"/>
          <w:szCs w:val="21"/>
        </w:rPr>
        <w:t>份）和</w:t>
      </w:r>
      <w:r>
        <w:rPr>
          <w:rFonts w:hint="default" w:ascii="Times New Roman" w:hAnsi="Times New Roman" w:cs="Times New Roman"/>
        </w:rPr>
        <w:t>电子版投标文件（</w:t>
      </w:r>
      <w:r>
        <w:rPr>
          <w:rFonts w:hint="default" w:ascii="Times New Roman" w:hAnsi="Times New Roman" w:cs="Times New Roman"/>
          <w:szCs w:val="21"/>
        </w:rPr>
        <w:t>一式壹份）。</w:t>
      </w:r>
    </w:p>
    <w:p w14:paraId="3F6F4C5C">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据此函，</w:t>
      </w:r>
      <w:r>
        <w:rPr>
          <w:rFonts w:hint="default" w:ascii="Times New Roman" w:hAnsi="Times New Roman" w:cs="Times New Roman"/>
          <w:szCs w:val="21"/>
          <w:u w:val="single"/>
        </w:rPr>
        <w:t xml:space="preserve">           </w:t>
      </w:r>
      <w:r>
        <w:rPr>
          <w:rFonts w:hint="default" w:ascii="Times New Roman" w:hAnsi="Times New Roman" w:cs="Times New Roman"/>
          <w:szCs w:val="21"/>
        </w:rPr>
        <w:t>签字人兹宣布同意如下：</w:t>
      </w:r>
    </w:p>
    <w:p w14:paraId="33D01839">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1、按招标文件规定的各项要求，向采购人提供所需货物与服务。</w:t>
      </w:r>
    </w:p>
    <w:p w14:paraId="7C6C19C0">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2、我们同意向贵方提供贵方可能要求的与本次项目采购有关的任何证据或资料，并保证我方已提供和将要提供的文件是真实的、准确的。</w:t>
      </w:r>
    </w:p>
    <w:p w14:paraId="6DC9C97C">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3、我们完全理解贵方不一定将合同授予最低报价的供应商。</w:t>
      </w:r>
    </w:p>
    <w:p w14:paraId="7C545DD3">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4、我们已详细审核全部招标文件及其有效补充文件，我们知道必须放弃提出含糊不清或误解问题的权利。</w:t>
      </w:r>
    </w:p>
    <w:p w14:paraId="40F54BD3">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5、我们同意从规定的开标日期起遵循本投标文件，并在规定的投标有效期（六十天）期满之前均具有约束力。</w:t>
      </w:r>
    </w:p>
    <w:p w14:paraId="471B3B95">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6、一旦我方中标，我方将根据招标文件的规定，严格履行合同的责任和义务，并保证在承诺的时间内完成项目，交付采购人验收、使用。</w:t>
      </w:r>
    </w:p>
    <w:p w14:paraId="515E4491">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7、与本次投标有关的正式通讯地址为：</w:t>
      </w:r>
    </w:p>
    <w:p w14:paraId="19C88856">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供应商名称：</w:t>
      </w:r>
      <w:r>
        <w:rPr>
          <w:rFonts w:hint="default" w:ascii="Times New Roman" w:hAnsi="Times New Roman" w:cs="Times New Roman"/>
          <w:szCs w:val="21"/>
          <w:u w:val="single"/>
        </w:rPr>
        <w:t xml:space="preserve">                 （公章）</w:t>
      </w:r>
    </w:p>
    <w:p w14:paraId="7331E858">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地址：</w:t>
      </w:r>
      <w:r>
        <w:rPr>
          <w:rFonts w:hint="default" w:ascii="Times New Roman" w:hAnsi="Times New Roman" w:cs="Times New Roman"/>
          <w:szCs w:val="21"/>
          <w:u w:val="single"/>
        </w:rPr>
        <w:t xml:space="preserve">                               </w:t>
      </w:r>
    </w:p>
    <w:p w14:paraId="7D858CBB">
      <w:pPr>
        <w:pStyle w:val="306"/>
        <w:spacing w:before="0" w:after="0" w:line="480" w:lineRule="exact"/>
        <w:rPr>
          <w:rFonts w:hint="default" w:ascii="Times New Roman" w:hAnsi="Times New Roman" w:cs="Times New Roman"/>
          <w:szCs w:val="21"/>
          <w:u w:val="single"/>
        </w:rPr>
      </w:pPr>
      <w:r>
        <w:rPr>
          <w:rFonts w:hint="default" w:ascii="Times New Roman" w:hAnsi="Times New Roman" w:cs="Times New Roman"/>
          <w:szCs w:val="21"/>
        </w:rPr>
        <w:t>电话：</w:t>
      </w:r>
      <w:r>
        <w:rPr>
          <w:rFonts w:hint="default" w:ascii="Times New Roman" w:hAnsi="Times New Roman" w:cs="Times New Roman"/>
          <w:szCs w:val="21"/>
          <w:u w:val="single"/>
        </w:rPr>
        <w:t xml:space="preserve">                               </w:t>
      </w:r>
    </w:p>
    <w:p w14:paraId="0C825A74">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传真：</w:t>
      </w:r>
      <w:r>
        <w:rPr>
          <w:rFonts w:hint="default" w:ascii="Times New Roman" w:hAnsi="Times New Roman" w:cs="Times New Roman"/>
          <w:szCs w:val="21"/>
          <w:u w:val="single"/>
        </w:rPr>
        <w:t xml:space="preserve">                               </w:t>
      </w:r>
    </w:p>
    <w:p w14:paraId="13A611AB">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 xml:space="preserve">邮箱: </w:t>
      </w:r>
      <w:r>
        <w:rPr>
          <w:rFonts w:hint="default" w:ascii="Times New Roman" w:hAnsi="Times New Roman" w:cs="Times New Roman"/>
          <w:szCs w:val="21"/>
          <w:u w:val="single"/>
        </w:rPr>
        <w:t xml:space="preserve">                                </w:t>
      </w:r>
    </w:p>
    <w:p w14:paraId="17EDCDDB">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开户名：</w:t>
      </w:r>
      <w:r>
        <w:rPr>
          <w:rFonts w:hint="default" w:ascii="Times New Roman" w:hAnsi="Times New Roman" w:cs="Times New Roman"/>
          <w:szCs w:val="21"/>
          <w:u w:val="single"/>
        </w:rPr>
        <w:t xml:space="preserve">                             </w:t>
      </w:r>
    </w:p>
    <w:p w14:paraId="4A1C20BF">
      <w:pPr>
        <w:pStyle w:val="306"/>
        <w:spacing w:before="0" w:after="0" w:line="480" w:lineRule="exact"/>
        <w:rPr>
          <w:rFonts w:hint="default" w:ascii="Times New Roman" w:hAnsi="Times New Roman" w:cs="Times New Roman"/>
          <w:szCs w:val="21"/>
          <w:u w:val="single"/>
        </w:rPr>
      </w:pPr>
      <w:r>
        <w:rPr>
          <w:rFonts w:hint="default" w:ascii="Times New Roman" w:hAnsi="Times New Roman" w:cs="Times New Roman"/>
          <w:szCs w:val="21"/>
        </w:rPr>
        <w:t>开户行：</w:t>
      </w:r>
      <w:r>
        <w:rPr>
          <w:rFonts w:hint="default" w:ascii="Times New Roman" w:hAnsi="Times New Roman" w:cs="Times New Roman"/>
          <w:szCs w:val="21"/>
          <w:u w:val="single"/>
        </w:rPr>
        <w:t xml:space="preserve">                             </w:t>
      </w:r>
    </w:p>
    <w:p w14:paraId="5DC38AAB">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帐户：</w:t>
      </w:r>
      <w:r>
        <w:rPr>
          <w:rFonts w:hint="default" w:ascii="Times New Roman" w:hAnsi="Times New Roman" w:cs="Times New Roman"/>
          <w:szCs w:val="21"/>
          <w:u w:val="single"/>
        </w:rPr>
        <w:t xml:space="preserve">                               </w:t>
      </w:r>
    </w:p>
    <w:p w14:paraId="3532804D">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法定代表人或授权代表（签字）：</w:t>
      </w:r>
      <w:r>
        <w:rPr>
          <w:rFonts w:hint="default" w:ascii="Times New Roman" w:hAnsi="Times New Roman" w:cs="Times New Roman"/>
          <w:szCs w:val="21"/>
          <w:u w:val="single"/>
        </w:rPr>
        <w:t xml:space="preserve">       </w:t>
      </w:r>
    </w:p>
    <w:p w14:paraId="41BC6379">
      <w:pPr>
        <w:spacing w:line="480" w:lineRule="exact"/>
        <w:ind w:firstLine="480"/>
        <w:rPr>
          <w:rFonts w:hint="default" w:ascii="Times New Roman" w:hAnsi="Times New Roman" w:cs="Times New Roman"/>
          <w:sz w:val="24"/>
          <w:szCs w:val="21"/>
          <w:u w:val="single"/>
        </w:rPr>
      </w:pPr>
      <w:r>
        <w:rPr>
          <w:rFonts w:hint="default" w:ascii="Times New Roman" w:hAnsi="Times New Roman" w:cs="Times New Roman"/>
          <w:sz w:val="24"/>
          <w:szCs w:val="21"/>
        </w:rPr>
        <w:t>日期：</w:t>
      </w:r>
      <w:r>
        <w:rPr>
          <w:rFonts w:hint="default" w:ascii="Times New Roman" w:hAnsi="Times New Roman" w:cs="Times New Roman"/>
          <w:sz w:val="24"/>
          <w:szCs w:val="21"/>
          <w:u w:val="single"/>
        </w:rPr>
        <w:t xml:space="preserve">       年    月    日  </w:t>
      </w:r>
    </w:p>
    <w:p w14:paraId="22C8C52B">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bookmarkStart w:id="206" w:name="_Toc481071975"/>
      <w:bookmarkStart w:id="207" w:name="_Toc481072021"/>
      <w:bookmarkStart w:id="208" w:name="_Toc475009305"/>
      <w:r>
        <w:rPr>
          <w:rFonts w:hint="default" w:ascii="Times New Roman" w:hAnsi="Times New Roman" w:cs="Times New Roman"/>
        </w:rPr>
        <w:t>3．法定代表人（单位负责人）身份证明</w:t>
      </w:r>
    </w:p>
    <w:p w14:paraId="663BA3CE">
      <w:pPr>
        <w:spacing w:line="640" w:lineRule="exact"/>
        <w:ind w:firstLine="560"/>
        <w:rPr>
          <w:rFonts w:hint="default" w:ascii="Times New Roman" w:hAnsi="Times New Roman" w:cs="Times New Roman"/>
          <w:sz w:val="28"/>
        </w:rPr>
      </w:pPr>
    </w:p>
    <w:p w14:paraId="006EE6D1">
      <w:pPr>
        <w:pStyle w:val="306"/>
        <w:spacing w:before="0" w:after="0" w:line="520" w:lineRule="exact"/>
        <w:rPr>
          <w:rFonts w:hint="default" w:ascii="Times New Roman" w:hAnsi="Times New Roman" w:cs="Times New Roman"/>
        </w:rPr>
      </w:pPr>
      <w:r>
        <w:rPr>
          <w:rFonts w:hint="default" w:ascii="Times New Roman" w:hAnsi="Times New Roman" w:cs="Times New Roman"/>
        </w:rPr>
        <w:t>单位名称：</w:t>
      </w:r>
      <w:r>
        <w:rPr>
          <w:rFonts w:hint="default" w:ascii="Times New Roman" w:hAnsi="Times New Roman" w:cs="Times New Roman"/>
          <w:b/>
          <w:u w:val="single"/>
        </w:rPr>
        <w:t xml:space="preserve">                              </w:t>
      </w:r>
    </w:p>
    <w:p w14:paraId="6B2F24F1">
      <w:pPr>
        <w:pStyle w:val="306"/>
        <w:spacing w:before="0" w:after="0" w:line="520" w:lineRule="exact"/>
        <w:rPr>
          <w:rFonts w:hint="default" w:ascii="Times New Roman" w:hAnsi="Times New Roman" w:cs="Times New Roman"/>
        </w:rPr>
      </w:pPr>
      <w:r>
        <w:rPr>
          <w:rFonts w:hint="default" w:ascii="Times New Roman" w:hAnsi="Times New Roman" w:cs="Times New Roman"/>
        </w:rPr>
        <w:t>地址：</w:t>
      </w:r>
      <w:r>
        <w:rPr>
          <w:rFonts w:hint="default" w:ascii="Times New Roman" w:hAnsi="Times New Roman" w:cs="Times New Roman"/>
          <w:b/>
          <w:u w:val="single"/>
        </w:rPr>
        <w:t xml:space="preserve">                              </w:t>
      </w:r>
    </w:p>
    <w:p w14:paraId="456A738F">
      <w:pPr>
        <w:pStyle w:val="306"/>
        <w:spacing w:before="0" w:after="0" w:line="520" w:lineRule="exact"/>
        <w:rPr>
          <w:rFonts w:hint="default" w:ascii="Times New Roman" w:hAnsi="Times New Roman" w:cs="Times New Roman"/>
        </w:rPr>
      </w:pPr>
      <w:r>
        <w:rPr>
          <w:rFonts w:hint="default" w:ascii="Times New Roman" w:hAnsi="Times New Roman" w:cs="Times New Roman"/>
        </w:rPr>
        <w:t>姓名：</w:t>
      </w:r>
      <w:r>
        <w:rPr>
          <w:rFonts w:hint="default" w:ascii="Times New Roman" w:hAnsi="Times New Roman" w:cs="Times New Roman"/>
          <w:b/>
          <w:u w:val="single"/>
        </w:rPr>
        <w:t xml:space="preserve">          </w:t>
      </w:r>
      <w:r>
        <w:rPr>
          <w:rFonts w:hint="default" w:ascii="Times New Roman" w:hAnsi="Times New Roman" w:cs="Times New Roman"/>
        </w:rPr>
        <w:t xml:space="preserve"> 性别：</w:t>
      </w:r>
      <w:r>
        <w:rPr>
          <w:rFonts w:hint="default" w:ascii="Times New Roman" w:hAnsi="Times New Roman" w:cs="Times New Roman"/>
          <w:b/>
          <w:u w:val="single"/>
        </w:rPr>
        <w:t xml:space="preserve">          </w:t>
      </w:r>
      <w:r>
        <w:rPr>
          <w:rFonts w:hint="default" w:ascii="Times New Roman" w:hAnsi="Times New Roman" w:cs="Times New Roman"/>
        </w:rPr>
        <w:t>年龄：</w:t>
      </w:r>
      <w:r>
        <w:rPr>
          <w:rFonts w:hint="default" w:ascii="Times New Roman" w:hAnsi="Times New Roman" w:cs="Times New Roman"/>
          <w:b/>
          <w:u w:val="single"/>
        </w:rPr>
        <w:t xml:space="preserve">          </w:t>
      </w:r>
      <w:r>
        <w:rPr>
          <w:rFonts w:hint="default" w:ascii="Times New Roman" w:hAnsi="Times New Roman" w:cs="Times New Roman"/>
        </w:rPr>
        <w:t>职务：</w:t>
      </w:r>
      <w:r>
        <w:rPr>
          <w:rFonts w:hint="default" w:ascii="Times New Roman" w:hAnsi="Times New Roman" w:cs="Times New Roman"/>
          <w:b/>
          <w:u w:val="single"/>
        </w:rPr>
        <w:t xml:space="preserve">          </w:t>
      </w:r>
    </w:p>
    <w:p w14:paraId="0DD938EF">
      <w:pPr>
        <w:pStyle w:val="306"/>
        <w:spacing w:before="0" w:after="0" w:line="520" w:lineRule="exact"/>
        <w:rPr>
          <w:rFonts w:hint="default" w:ascii="Times New Roman" w:hAnsi="Times New Roman" w:cs="Times New Roman"/>
        </w:rPr>
      </w:pPr>
      <w:r>
        <w:rPr>
          <w:rFonts w:hint="default" w:ascii="Times New Roman" w:hAnsi="Times New Roman" w:cs="Times New Roman"/>
        </w:rPr>
        <w:t>系</w:t>
      </w:r>
      <w:r>
        <w:rPr>
          <w:rFonts w:hint="default" w:ascii="Times New Roman" w:hAnsi="Times New Roman" w:cs="Times New Roman"/>
          <w:u w:val="single"/>
        </w:rPr>
        <w:t xml:space="preserve"> （供应商名称）</w:t>
      </w:r>
      <w:r>
        <w:rPr>
          <w:rFonts w:hint="default" w:ascii="Times New Roman" w:hAnsi="Times New Roman" w:cs="Times New Roman"/>
        </w:rPr>
        <w:t>的法定代表人。为参与</w:t>
      </w:r>
      <w:r>
        <w:rPr>
          <w:rFonts w:hint="default" w:ascii="Times New Roman" w:hAnsi="Times New Roman" w:cs="Times New Roman"/>
          <w:b/>
          <w:u w:val="single"/>
        </w:rPr>
        <w:t xml:space="preserve">          </w:t>
      </w:r>
      <w:r>
        <w:rPr>
          <w:rFonts w:hint="default" w:ascii="Times New Roman" w:hAnsi="Times New Roman" w:cs="Times New Roman"/>
        </w:rPr>
        <w:t>项目（项目编号：</w:t>
      </w:r>
      <w:r>
        <w:rPr>
          <w:rFonts w:hint="default" w:ascii="Times New Roman" w:hAnsi="Times New Roman" w:cs="Times New Roman"/>
          <w:b/>
          <w:u w:val="single"/>
        </w:rPr>
        <w:t xml:space="preserve">          </w:t>
      </w:r>
      <w:r>
        <w:rPr>
          <w:rFonts w:hint="default" w:ascii="Times New Roman" w:hAnsi="Times New Roman" w:cs="Times New Roman"/>
        </w:rPr>
        <w:t>）的采购活动，签署上述项目的投标文件、进行投标、签署合同和处理与之有关的一切事务。</w:t>
      </w:r>
    </w:p>
    <w:p w14:paraId="2C94844B">
      <w:pPr>
        <w:pStyle w:val="306"/>
        <w:spacing w:before="0" w:after="0" w:line="520" w:lineRule="exact"/>
        <w:rPr>
          <w:rFonts w:hint="default" w:ascii="Times New Roman" w:hAnsi="Times New Roman" w:cs="Times New Roman"/>
        </w:rPr>
      </w:pPr>
      <w:r>
        <w:rPr>
          <w:rFonts w:hint="default" w:ascii="Times New Roman" w:hAnsi="Times New Roman" w:cs="Times New Roman"/>
        </w:rPr>
        <w:t>特此证明。</w:t>
      </w:r>
    </w:p>
    <w:p w14:paraId="723445BE">
      <w:pPr>
        <w:pStyle w:val="215"/>
        <w:ind w:left="400"/>
        <w:rPr>
          <w:rFonts w:hint="default" w:ascii="Times New Roman" w:hAnsi="Times New Roman" w:eastAsia="宋体" w:cs="Times New Roman"/>
          <w:sz w:val="24"/>
          <w:szCs w:val="24"/>
        </w:rPr>
      </w:pPr>
    </w:p>
    <w:p w14:paraId="2CEF92EF">
      <w:pPr>
        <w:pStyle w:val="215"/>
        <w:ind w:left="400"/>
        <w:rPr>
          <w:rFonts w:hint="default" w:ascii="Times New Roman" w:hAnsi="Times New Roman" w:cs="Times New Roman"/>
        </w:rPr>
      </w:pPr>
      <w:r>
        <w:rPr>
          <w:rFonts w:hint="default" w:ascii="Times New Roman" w:hAnsi="Times New Roman" w:eastAsia="宋体" w:cs="Times New Roman"/>
          <w:sz w:val="24"/>
          <w:szCs w:val="24"/>
        </w:rPr>
        <w:t>附：法定代表人（单位负责人）有效期内的身份证复印件（正反面）</w:t>
      </w:r>
    </w:p>
    <w:tbl>
      <w:tblPr>
        <w:tblStyle w:val="31"/>
        <w:tblW w:w="4537" w:type="dxa"/>
        <w:tblInd w:w="-42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537"/>
      </w:tblGrid>
      <w:tr w14:paraId="3507C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68" w:hRule="atLeast"/>
        </w:trPr>
        <w:tc>
          <w:tcPr>
            <w:tcW w:w="4537" w:type="dxa"/>
            <w:noWrap w:val="0"/>
            <w:vAlign w:val="center"/>
          </w:tcPr>
          <w:p w14:paraId="4706789E">
            <w:pPr>
              <w:pStyle w:val="215"/>
              <w:jc w:val="center"/>
              <w:rPr>
                <w:rFonts w:hint="default" w:ascii="Times New Roman" w:hAnsi="Times New Roman" w:cs="Times New Roman"/>
                <w:i/>
                <w:sz w:val="20"/>
              </w:rPr>
            </w:pPr>
            <w:r>
              <w:rPr>
                <w:rFonts w:hint="default" w:ascii="Times New Roman" w:hAnsi="Times New Roman" w:cs="Times New Roman"/>
                <w:i/>
                <w:sz w:val="24"/>
              </w:rPr>
              <w:t>身份证正面</w:t>
            </w:r>
          </w:p>
        </w:tc>
      </w:tr>
    </w:tbl>
    <w:p w14:paraId="52A9341B">
      <w:pPr>
        <w:rPr>
          <w:rFonts w:hint="default" w:ascii="Times New Roman" w:hAnsi="Times New Roman" w:cs="Times New Roman"/>
          <w:vanish/>
        </w:rPr>
      </w:pPr>
    </w:p>
    <w:tbl>
      <w:tblPr>
        <w:tblStyle w:val="31"/>
        <w:tblpPr w:leftFromText="180" w:rightFromText="180" w:vertAnchor="text" w:horzAnchor="page" w:tblpX="6313" w:tblpY="-2982"/>
        <w:tblW w:w="4646"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46"/>
      </w:tblGrid>
      <w:tr w14:paraId="1FF91A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67" w:hRule="atLeast"/>
        </w:trPr>
        <w:tc>
          <w:tcPr>
            <w:tcW w:w="4646" w:type="dxa"/>
            <w:noWrap w:val="0"/>
            <w:vAlign w:val="center"/>
          </w:tcPr>
          <w:p w14:paraId="69554816">
            <w:pPr>
              <w:pStyle w:val="215"/>
              <w:jc w:val="center"/>
              <w:rPr>
                <w:rFonts w:hint="default" w:ascii="Times New Roman" w:hAnsi="Times New Roman" w:cs="Times New Roman"/>
                <w:sz w:val="20"/>
              </w:rPr>
            </w:pPr>
            <w:r>
              <w:rPr>
                <w:rFonts w:hint="default" w:ascii="Times New Roman" w:hAnsi="Times New Roman" w:cs="Times New Roman"/>
                <w:i/>
                <w:sz w:val="24"/>
              </w:rPr>
              <w:t>身份证反面</w:t>
            </w:r>
          </w:p>
        </w:tc>
      </w:tr>
    </w:tbl>
    <w:p w14:paraId="3A599CE7">
      <w:pPr>
        <w:spacing w:line="640" w:lineRule="exact"/>
        <w:rPr>
          <w:rFonts w:hint="default" w:ascii="Times New Roman" w:hAnsi="Times New Roman" w:cs="Times New Roman"/>
          <w:sz w:val="28"/>
        </w:rPr>
      </w:pPr>
    </w:p>
    <w:p w14:paraId="104A6CA6">
      <w:pPr>
        <w:pStyle w:val="306"/>
        <w:spacing w:before="0" w:after="0" w:line="420" w:lineRule="exact"/>
        <w:ind w:firstLine="0"/>
        <w:jc w:val="center"/>
        <w:rPr>
          <w:rFonts w:hint="default" w:ascii="Times New Roman" w:hAnsi="Times New Roman" w:cs="Times New Roman"/>
          <w:szCs w:val="21"/>
        </w:rPr>
      </w:pPr>
      <w:r>
        <w:rPr>
          <w:rFonts w:hint="default" w:ascii="Times New Roman" w:hAnsi="Times New Roman" w:cs="Times New Roman"/>
          <w:szCs w:val="21"/>
        </w:rPr>
        <w:t xml:space="preserve">                      供应商名称（公章）：</w:t>
      </w:r>
    </w:p>
    <w:p w14:paraId="27C494BF">
      <w:pPr>
        <w:pStyle w:val="306"/>
        <w:spacing w:before="0" w:after="0" w:line="420" w:lineRule="exact"/>
        <w:ind w:firstLine="0"/>
        <w:jc w:val="center"/>
        <w:rPr>
          <w:rFonts w:hint="default" w:ascii="Times New Roman" w:hAnsi="Times New Roman" w:cs="Times New Roman"/>
          <w:szCs w:val="21"/>
        </w:rPr>
      </w:pPr>
    </w:p>
    <w:p w14:paraId="2E80A699">
      <w:pPr>
        <w:pStyle w:val="306"/>
        <w:spacing w:before="0" w:after="0" w:line="420" w:lineRule="exact"/>
        <w:jc w:val="right"/>
        <w:rPr>
          <w:rFonts w:hint="default" w:ascii="Times New Roman" w:hAnsi="Times New Roman" w:cs="Times New Roman"/>
          <w:szCs w:val="21"/>
        </w:rPr>
      </w:pPr>
      <w:r>
        <w:rPr>
          <w:rFonts w:hint="default" w:ascii="Times New Roman" w:hAnsi="Times New Roman" w:cs="Times New Roman"/>
          <w:szCs w:val="21"/>
        </w:rPr>
        <w:t>日    期：</w:t>
      </w:r>
      <w:r>
        <w:rPr>
          <w:rFonts w:hint="default" w:ascii="Times New Roman" w:hAnsi="Times New Roman" w:cs="Times New Roman"/>
          <w:szCs w:val="21"/>
          <w:u w:val="single"/>
        </w:rPr>
        <w:t xml:space="preserve">       </w:t>
      </w:r>
      <w:r>
        <w:rPr>
          <w:rFonts w:hint="default" w:ascii="Times New Roman" w:hAnsi="Times New Roman" w:cs="Times New Roman"/>
          <w:szCs w:val="21"/>
        </w:rPr>
        <w:t>年</w:t>
      </w:r>
      <w:r>
        <w:rPr>
          <w:rFonts w:hint="default" w:ascii="Times New Roman" w:hAnsi="Times New Roman" w:cs="Times New Roman"/>
          <w:szCs w:val="21"/>
          <w:u w:val="single"/>
        </w:rPr>
        <w:t xml:space="preserve">    </w:t>
      </w:r>
      <w:r>
        <w:rPr>
          <w:rFonts w:hint="default" w:ascii="Times New Roman" w:hAnsi="Times New Roman" w:cs="Times New Roman"/>
          <w:szCs w:val="21"/>
        </w:rPr>
        <w:t>月</w:t>
      </w:r>
      <w:r>
        <w:rPr>
          <w:rFonts w:hint="default" w:ascii="Times New Roman" w:hAnsi="Times New Roman" w:cs="Times New Roman"/>
          <w:szCs w:val="21"/>
          <w:u w:val="single"/>
        </w:rPr>
        <w:t xml:space="preserve">    </w:t>
      </w:r>
      <w:r>
        <w:rPr>
          <w:rFonts w:hint="default" w:ascii="Times New Roman" w:hAnsi="Times New Roman" w:cs="Times New Roman"/>
          <w:szCs w:val="21"/>
        </w:rPr>
        <w:t xml:space="preserve">日                        </w:t>
      </w:r>
    </w:p>
    <w:p w14:paraId="5F7637A0">
      <w:pPr>
        <w:spacing w:line="640" w:lineRule="exact"/>
        <w:ind w:firstLine="5320"/>
        <w:rPr>
          <w:rFonts w:hint="default" w:ascii="Times New Roman" w:hAnsi="Times New Roman" w:cs="Times New Roman"/>
          <w:sz w:val="28"/>
          <w:szCs w:val="28"/>
        </w:rPr>
      </w:pPr>
    </w:p>
    <w:p w14:paraId="39E8AA0B">
      <w:pPr>
        <w:spacing w:line="640" w:lineRule="exact"/>
        <w:ind w:firstLine="3204"/>
        <w:rPr>
          <w:rFonts w:hint="default" w:ascii="Times New Roman" w:hAnsi="Times New Roman" w:cs="Times New Roman"/>
          <w:b/>
          <w:bCs/>
          <w:sz w:val="28"/>
        </w:rPr>
      </w:pPr>
    </w:p>
    <w:p w14:paraId="7273204C">
      <w:pPr>
        <w:pStyle w:val="306"/>
        <w:spacing w:before="0" w:after="0" w:line="520" w:lineRule="exact"/>
        <w:rPr>
          <w:rFonts w:hint="default" w:ascii="Times New Roman" w:hAnsi="Times New Roman" w:cs="Times New Roman"/>
        </w:rPr>
      </w:pPr>
      <w:r>
        <w:rPr>
          <w:rFonts w:hint="default" w:ascii="Times New Roman" w:hAnsi="Times New Roman" w:cs="Times New Roman"/>
        </w:rPr>
        <w:t>注：供应商法定代表人参加投标的，必须附法定代表人身份证复印件并加盖委托单位公章，参加投标时法定代表人将身份证原件带至投标现场备查。</w:t>
      </w:r>
    </w:p>
    <w:p w14:paraId="40C669EA">
      <w:pPr>
        <w:pStyle w:val="190"/>
        <w:spacing w:before="0" w:after="0" w:line="538" w:lineRule="exact"/>
        <w:ind w:firstLine="480"/>
        <w:jc w:val="center"/>
        <w:rPr>
          <w:rFonts w:hint="default" w:ascii="Times New Roman" w:hAnsi="Times New Roman" w:cs="Times New Roman"/>
        </w:rPr>
      </w:pPr>
      <w:r>
        <w:rPr>
          <w:rFonts w:hint="default" w:ascii="Times New Roman" w:hAnsi="Times New Roman" w:cs="Times New Roman"/>
          <w:b w:val="0"/>
          <w:bCs w:val="0"/>
        </w:rPr>
        <w:br w:type="page" w:clear="all"/>
      </w:r>
      <w:r>
        <w:rPr>
          <w:rFonts w:hint="default" w:ascii="Times New Roman" w:hAnsi="Times New Roman" w:cs="Times New Roman"/>
        </w:rPr>
        <w:t>4．法人授权委托书</w:t>
      </w:r>
    </w:p>
    <w:p w14:paraId="32B27ED4">
      <w:pPr>
        <w:pStyle w:val="306"/>
        <w:spacing w:before="0" w:after="0" w:line="480" w:lineRule="exact"/>
        <w:rPr>
          <w:rFonts w:hint="default" w:ascii="Times New Roman" w:hAnsi="Times New Roman" w:cs="Times New Roman"/>
        </w:rPr>
      </w:pPr>
      <w:r>
        <w:rPr>
          <w:rFonts w:hint="default" w:ascii="Times New Roman" w:hAnsi="Times New Roman" w:cs="Times New Roman"/>
        </w:rPr>
        <w:t>本授权书声明：我</w:t>
      </w:r>
      <w:r>
        <w:rPr>
          <w:rFonts w:hint="default" w:ascii="Times New Roman" w:hAnsi="Times New Roman" w:cs="Times New Roman"/>
          <w:u w:val="single"/>
        </w:rPr>
        <w:t xml:space="preserve">     （姓名）</w:t>
      </w:r>
      <w:r>
        <w:rPr>
          <w:rFonts w:hint="default" w:ascii="Times New Roman" w:hAnsi="Times New Roman" w:cs="Times New Roman"/>
        </w:rPr>
        <w:t>系</w:t>
      </w:r>
      <w:r>
        <w:rPr>
          <w:rFonts w:hint="default" w:ascii="Times New Roman" w:hAnsi="Times New Roman" w:cs="Times New Roman"/>
          <w:u w:val="single"/>
        </w:rPr>
        <w:t xml:space="preserve">     （供应商名称）</w:t>
      </w:r>
      <w:r>
        <w:rPr>
          <w:rFonts w:hint="default" w:ascii="Times New Roman" w:hAnsi="Times New Roman" w:cs="Times New Roman"/>
        </w:rPr>
        <w:t>的法定代表人，兹委派我单位</w:t>
      </w:r>
      <w:r>
        <w:rPr>
          <w:rFonts w:hint="default" w:ascii="Times New Roman" w:hAnsi="Times New Roman" w:cs="Times New Roman"/>
          <w:u w:val="single"/>
        </w:rPr>
        <w:t xml:space="preserve">          （授权代表的姓名）</w:t>
      </w:r>
      <w:r>
        <w:rPr>
          <w:rFonts w:hint="default" w:ascii="Times New Roman" w:hAnsi="Times New Roman" w:cs="Times New Roman"/>
        </w:rPr>
        <w:t>为本单位的合法代理人，就</w:t>
      </w:r>
      <w:r>
        <w:rPr>
          <w:rFonts w:hint="default" w:ascii="Times New Roman" w:hAnsi="Times New Roman" w:cs="Times New Roman"/>
          <w:u w:val="single"/>
        </w:rPr>
        <w:t xml:space="preserve">          （项目名称、项目编号）</w:t>
      </w:r>
      <w:r>
        <w:rPr>
          <w:rFonts w:hint="default" w:ascii="Times New Roman" w:hAnsi="Times New Roman" w:cs="Times New Roman"/>
        </w:rPr>
        <w:t>，以我单位名义签署上述项目的投标文件、进行投标、签署合同和处理与之有关的一切事务。</w:t>
      </w:r>
    </w:p>
    <w:p w14:paraId="67FCFFE3">
      <w:pPr>
        <w:spacing w:line="480" w:lineRule="exact"/>
        <w:ind w:firstLine="480"/>
        <w:rPr>
          <w:rFonts w:hint="default" w:ascii="Times New Roman" w:hAnsi="Times New Roman" w:cs="Times New Roman"/>
          <w:bCs/>
          <w:sz w:val="24"/>
        </w:rPr>
      </w:pPr>
      <w:r>
        <w:rPr>
          <w:rFonts w:hint="default" w:ascii="Times New Roman" w:hAnsi="Times New Roman" w:cs="Times New Roman"/>
          <w:bCs/>
          <w:sz w:val="24"/>
        </w:rPr>
        <w:t>受托人在办理上述事宜过程中以其自己的名义所签署的所有文件我单位均予以承认。受托人无转委托权。</w:t>
      </w:r>
    </w:p>
    <w:p w14:paraId="57B8F611">
      <w:pPr>
        <w:spacing w:line="480" w:lineRule="exact"/>
        <w:ind w:firstLine="480"/>
        <w:rPr>
          <w:rFonts w:hint="default" w:ascii="Times New Roman" w:hAnsi="Times New Roman" w:cs="Times New Roman"/>
          <w:bCs/>
          <w:sz w:val="24"/>
        </w:rPr>
      </w:pPr>
      <w:r>
        <w:rPr>
          <w:rFonts w:hint="default" w:ascii="Times New Roman" w:hAnsi="Times New Roman" w:cs="Times New Roman"/>
          <w:bCs/>
          <w:sz w:val="24"/>
        </w:rPr>
        <w:t>委托期限：至上述事宜处理完毕止。</w:t>
      </w:r>
    </w:p>
    <w:p w14:paraId="1169DCEF">
      <w:pPr>
        <w:spacing w:line="480" w:lineRule="exact"/>
        <w:ind w:firstLine="480"/>
        <w:rPr>
          <w:rFonts w:hint="default" w:ascii="Times New Roman" w:hAnsi="Times New Roman" w:cs="Times New Roman"/>
          <w:bCs/>
          <w:sz w:val="24"/>
        </w:rPr>
      </w:pPr>
      <w:r>
        <w:rPr>
          <w:rFonts w:hint="default" w:ascii="Times New Roman" w:hAnsi="Times New Roman" w:cs="Times New Roman"/>
          <w:bCs/>
          <w:sz w:val="24"/>
        </w:rPr>
        <w:t>本授权书于______年____月____日起生效，特此声明。</w:t>
      </w:r>
    </w:p>
    <w:p w14:paraId="11130511">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授权代表情况：</w:t>
      </w:r>
    </w:p>
    <w:p w14:paraId="7E3B71C8">
      <w:pPr>
        <w:spacing w:line="480" w:lineRule="exact"/>
        <w:ind w:firstLine="480"/>
        <w:rPr>
          <w:rFonts w:hint="default" w:ascii="Times New Roman" w:hAnsi="Times New Roman" w:cs="Times New Roman"/>
          <w:sz w:val="24"/>
          <w:szCs w:val="24"/>
          <w:u w:val="single"/>
        </w:rPr>
      </w:pPr>
      <w:r>
        <w:rPr>
          <w:rFonts w:hint="default" w:ascii="Times New Roman" w:hAnsi="Times New Roman" w:cs="Times New Roman"/>
          <w:sz w:val="24"/>
          <w:szCs w:val="24"/>
        </w:rPr>
        <w:t>姓名：</w:t>
      </w:r>
      <w:r>
        <w:rPr>
          <w:rFonts w:hint="default" w:ascii="Times New Roman" w:hAnsi="Times New Roman" w:cs="Times New Roman"/>
          <w:bCs/>
          <w:sz w:val="24"/>
          <w:u w:val="single"/>
        </w:rPr>
        <w:t xml:space="preserve">          </w:t>
      </w:r>
      <w:r>
        <w:rPr>
          <w:rFonts w:hint="default" w:ascii="Times New Roman" w:hAnsi="Times New Roman" w:cs="Times New Roman"/>
          <w:bCs/>
          <w:sz w:val="24"/>
        </w:rPr>
        <w:t xml:space="preserve"> 性别：</w:t>
      </w:r>
      <w:r>
        <w:rPr>
          <w:rFonts w:hint="default" w:ascii="Times New Roman" w:hAnsi="Times New Roman" w:cs="Times New Roman"/>
          <w:bCs/>
          <w:sz w:val="24"/>
          <w:u w:val="single"/>
        </w:rPr>
        <w:t xml:space="preserve">       </w:t>
      </w:r>
      <w:r>
        <w:rPr>
          <w:rFonts w:hint="default" w:ascii="Times New Roman" w:hAnsi="Times New Roman" w:cs="Times New Roman"/>
          <w:bCs/>
          <w:sz w:val="24"/>
        </w:rPr>
        <w:t xml:space="preserve"> 身份证号码：</w:t>
      </w:r>
      <w:r>
        <w:rPr>
          <w:rFonts w:hint="default" w:ascii="Times New Roman" w:hAnsi="Times New Roman" w:cs="Times New Roman"/>
          <w:bCs/>
          <w:sz w:val="24"/>
          <w:u w:val="single"/>
        </w:rPr>
        <w:t xml:space="preserve">                          </w:t>
      </w:r>
    </w:p>
    <w:p w14:paraId="7DF581A7">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部门：</w:t>
      </w:r>
      <w:r>
        <w:rPr>
          <w:rFonts w:hint="default" w:ascii="Times New Roman" w:hAnsi="Times New Roman" w:cs="Times New Roman"/>
          <w:bCs/>
          <w:sz w:val="24"/>
          <w:u w:val="single"/>
        </w:rPr>
        <w:t xml:space="preserve">               </w:t>
      </w:r>
      <w:r>
        <w:rPr>
          <w:rFonts w:hint="default" w:ascii="Times New Roman" w:hAnsi="Times New Roman" w:cs="Times New Roman"/>
          <w:bCs/>
          <w:sz w:val="24"/>
        </w:rPr>
        <w:t xml:space="preserve"> 职务：</w:t>
      </w:r>
      <w:r>
        <w:rPr>
          <w:rFonts w:hint="default" w:ascii="Times New Roman" w:hAnsi="Times New Roman" w:cs="Times New Roman"/>
          <w:bCs/>
          <w:sz w:val="24"/>
          <w:u w:val="single"/>
        </w:rPr>
        <w:t xml:space="preserve">            </w:t>
      </w:r>
    </w:p>
    <w:p w14:paraId="4E8CF503">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通讯地址：</w:t>
      </w:r>
      <w:r>
        <w:rPr>
          <w:rFonts w:hint="default" w:ascii="Times New Roman" w:hAnsi="Times New Roman" w:cs="Times New Roman"/>
          <w:sz w:val="24"/>
          <w:szCs w:val="24"/>
          <w:u w:val="single"/>
        </w:rPr>
        <w:t xml:space="preserve">                          </w:t>
      </w:r>
    </w:p>
    <w:p w14:paraId="5DD2E748">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联系电话：</w:t>
      </w:r>
      <w:r>
        <w:rPr>
          <w:rFonts w:hint="default" w:ascii="Times New Roman" w:hAnsi="Times New Roman" w:cs="Times New Roman"/>
          <w:sz w:val="24"/>
          <w:szCs w:val="24"/>
          <w:u w:val="single"/>
        </w:rPr>
        <w:t xml:space="preserve">                          </w:t>
      </w:r>
    </w:p>
    <w:p w14:paraId="29CE124E">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授权代表（签字）：</w:t>
      </w:r>
      <w:r>
        <w:rPr>
          <w:rFonts w:hint="default" w:ascii="Times New Roman" w:hAnsi="Times New Roman" w:cs="Times New Roman"/>
          <w:sz w:val="24"/>
          <w:szCs w:val="24"/>
          <w:u w:val="single"/>
        </w:rPr>
        <w:t xml:space="preserve">                              </w:t>
      </w:r>
    </w:p>
    <w:p w14:paraId="2BCE463E">
      <w:pPr>
        <w:pStyle w:val="236"/>
        <w:spacing w:line="360" w:lineRule="auto"/>
        <w:ind w:firstLine="480"/>
        <w:jc w:val="left"/>
        <w:rPr>
          <w:rFonts w:hint="default" w:ascii="Times New Roman" w:hAnsi="Times New Roman" w:eastAsia="宋体" w:cs="Times New Roman"/>
          <w:sz w:val="24"/>
          <w:szCs w:val="21"/>
        </w:rPr>
      </w:pPr>
      <w:r>
        <w:rPr>
          <w:rFonts w:hint="default" w:ascii="Times New Roman" w:hAnsi="Times New Roman" w:eastAsia="宋体" w:cs="Times New Roman"/>
          <w:sz w:val="24"/>
          <w:szCs w:val="21"/>
        </w:rPr>
        <w:t>授权代表有效期内的身份证复印件（正反面）</w:t>
      </w:r>
    </w:p>
    <w:tbl>
      <w:tblPr>
        <w:tblStyle w:val="31"/>
        <w:tblW w:w="8363" w:type="dxa"/>
        <w:tblInd w:w="14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969"/>
        <w:gridCol w:w="278"/>
        <w:gridCol w:w="4116"/>
      </w:tblGrid>
      <w:tr w14:paraId="230B97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92" w:hRule="atLeast"/>
        </w:trPr>
        <w:tc>
          <w:tcPr>
            <w:tcW w:w="3969" w:type="dxa"/>
            <w:noWrap w:val="0"/>
            <w:vAlign w:val="center"/>
          </w:tcPr>
          <w:p w14:paraId="7A11030B">
            <w:pPr>
              <w:pStyle w:val="215"/>
              <w:jc w:val="center"/>
              <w:rPr>
                <w:rFonts w:hint="default" w:ascii="Times New Roman" w:hAnsi="Times New Roman" w:cs="Times New Roman"/>
                <w:i/>
                <w:sz w:val="20"/>
              </w:rPr>
            </w:pPr>
            <w:r>
              <w:rPr>
                <w:rFonts w:hint="default" w:ascii="Times New Roman" w:hAnsi="Times New Roman" w:cs="Times New Roman"/>
                <w:i/>
                <w:sz w:val="24"/>
              </w:rPr>
              <w:t>身份证正面</w:t>
            </w:r>
          </w:p>
        </w:tc>
        <w:tc>
          <w:tcPr>
            <w:tcW w:w="278" w:type="dxa"/>
            <w:noWrap w:val="0"/>
            <w:vAlign w:val="top"/>
          </w:tcPr>
          <w:p w14:paraId="621BBC56">
            <w:pPr>
              <w:widowControl/>
              <w:jc w:val="left"/>
              <w:rPr>
                <w:rFonts w:hint="default" w:ascii="Times New Roman" w:hAnsi="Times New Roman" w:cs="Times New Roman"/>
                <w:sz w:val="20"/>
              </w:rPr>
            </w:pPr>
          </w:p>
        </w:tc>
        <w:tc>
          <w:tcPr>
            <w:tcW w:w="4116" w:type="dxa"/>
            <w:noWrap w:val="0"/>
            <w:vAlign w:val="center"/>
          </w:tcPr>
          <w:p w14:paraId="76118928">
            <w:pPr>
              <w:widowControl/>
              <w:jc w:val="center"/>
              <w:rPr>
                <w:rFonts w:hint="default" w:ascii="Times New Roman" w:hAnsi="Times New Roman" w:cs="Times New Roman"/>
                <w:sz w:val="20"/>
              </w:rPr>
            </w:pPr>
            <w:r>
              <w:rPr>
                <w:rFonts w:hint="default" w:ascii="Times New Roman" w:hAnsi="Times New Roman" w:cs="Times New Roman"/>
                <w:i/>
                <w:sz w:val="24"/>
              </w:rPr>
              <w:t>身份证反面</w:t>
            </w:r>
          </w:p>
        </w:tc>
      </w:tr>
    </w:tbl>
    <w:p w14:paraId="7BF0EDD1">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法定代表人（签字或盖章）：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666B07B0">
      <w:pPr>
        <w:spacing w:line="520" w:lineRule="exact"/>
        <w:ind w:firstLine="480"/>
        <w:rPr>
          <w:rFonts w:hint="default" w:ascii="Times New Roman" w:hAnsi="Times New Roman" w:cs="Times New Roman"/>
          <w:sz w:val="24"/>
          <w:szCs w:val="24"/>
          <w:u w:val="single"/>
        </w:rPr>
      </w:pPr>
      <w:r>
        <w:rPr>
          <w:rFonts w:hint="default" w:ascii="Times New Roman" w:hAnsi="Times New Roman" w:cs="Times New Roman"/>
          <w:sz w:val="24"/>
          <w:szCs w:val="24"/>
        </w:rPr>
        <w:t>供应商名称：</w:t>
      </w:r>
      <w:r>
        <w:rPr>
          <w:rFonts w:hint="default" w:ascii="Times New Roman" w:hAnsi="Times New Roman" w:cs="Times New Roman"/>
          <w:sz w:val="24"/>
          <w:szCs w:val="24"/>
          <w:u w:val="single"/>
        </w:rPr>
        <w:t xml:space="preserve">                           （公章） </w:t>
      </w:r>
    </w:p>
    <w:p w14:paraId="75F513B8">
      <w:pPr>
        <w:pStyle w:val="306"/>
        <w:spacing w:before="0" w:after="0" w:line="420" w:lineRule="exact"/>
        <w:ind w:firstLine="0"/>
        <w:jc w:val="center"/>
        <w:rPr>
          <w:rFonts w:hint="default" w:ascii="Times New Roman" w:hAnsi="Times New Roman" w:cs="Times New Roman"/>
          <w:szCs w:val="21"/>
        </w:rPr>
      </w:pPr>
    </w:p>
    <w:p w14:paraId="3ED220A0">
      <w:pPr>
        <w:pStyle w:val="306"/>
        <w:spacing w:before="0" w:after="0" w:line="520" w:lineRule="exact"/>
        <w:rPr>
          <w:rFonts w:hint="default" w:ascii="Times New Roman" w:hAnsi="Times New Roman" w:cs="Times New Roman"/>
        </w:rPr>
      </w:pPr>
      <w:r>
        <w:rPr>
          <w:rFonts w:hint="default" w:ascii="Times New Roman" w:hAnsi="Times New Roman" w:cs="Times New Roman"/>
        </w:rPr>
        <w:t>注：供应商委托受托人参加投标的，必须附受托人身份证复印件并加盖委托单位公章，参加投标时受托人将身份证原件带至投标现场备查。法定代表人</w:t>
      </w:r>
      <w:r>
        <w:rPr>
          <w:rFonts w:hint="default" w:ascii="Times New Roman" w:hAnsi="Times New Roman" w:cs="Times New Roman"/>
          <w:szCs w:val="21"/>
        </w:rPr>
        <w:t>（单位负责人）</w:t>
      </w:r>
      <w:r>
        <w:rPr>
          <w:rFonts w:hint="default" w:ascii="Times New Roman" w:hAnsi="Times New Roman" w:cs="Times New Roman"/>
        </w:rPr>
        <w:t>直接参加投标的，仅需填写“法定代表人（单位负责人）身份证明”。</w:t>
      </w:r>
    </w:p>
    <w:bookmarkEnd w:id="206"/>
    <w:bookmarkEnd w:id="207"/>
    <w:bookmarkEnd w:id="208"/>
    <w:p w14:paraId="17022BCB">
      <w:pPr>
        <w:rPr>
          <w:rFonts w:hint="default" w:ascii="Times New Roman" w:hAnsi="Times New Roman" w:cs="Times New Roman"/>
        </w:rPr>
      </w:pPr>
    </w:p>
    <w:p w14:paraId="4402B3FE">
      <w:pPr>
        <w:rPr>
          <w:rFonts w:hint="default" w:ascii="Times New Roman" w:hAnsi="Times New Roman" w:cs="Times New Roman"/>
        </w:rPr>
      </w:pPr>
    </w:p>
    <w:p w14:paraId="44BA4ACF">
      <w:pPr>
        <w:rPr>
          <w:rFonts w:hint="default" w:ascii="Times New Roman" w:hAnsi="Times New Roman" w:cs="Times New Roman"/>
        </w:rPr>
      </w:pPr>
    </w:p>
    <w:p w14:paraId="42E4EA04">
      <w:pPr>
        <w:rPr>
          <w:rFonts w:hint="default" w:ascii="Times New Roman" w:hAnsi="Times New Roman" w:cs="Times New Roman"/>
        </w:rPr>
      </w:pPr>
    </w:p>
    <w:p w14:paraId="42FCEE8C">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lang w:val="en-US" w:eastAsia="zh-CN"/>
        </w:rPr>
        <w:t>5</w:t>
      </w:r>
      <w:r>
        <w:rPr>
          <w:rFonts w:hint="default" w:ascii="Times New Roman" w:hAnsi="Times New Roman" w:cs="Times New Roman"/>
        </w:rPr>
        <w:t>．具备履行合同所必需的设备和专业技术能力的书面声明</w:t>
      </w:r>
    </w:p>
    <w:p w14:paraId="49B11675">
      <w:pPr>
        <w:spacing w:line="460" w:lineRule="exact"/>
        <w:ind w:firstLine="492"/>
        <w:rPr>
          <w:rFonts w:hint="default" w:ascii="Times New Roman" w:hAnsi="Times New Roman" w:cs="Times New Roman"/>
          <w:bCs/>
          <w:sz w:val="24"/>
        </w:rPr>
      </w:pPr>
    </w:p>
    <w:p w14:paraId="10CC924D">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我单位郑重声明：我单位具备履行本项采购合同所必需的设备和专业技术能力，为履行本项采购合同我单位具备如下主要设备和主要专业技术能力：</w:t>
      </w:r>
    </w:p>
    <w:p w14:paraId="006A2C93">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主要设备有：  。</w:t>
      </w:r>
    </w:p>
    <w:p w14:paraId="77B93DA9">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主要专业技术能力有：   。</w:t>
      </w:r>
    </w:p>
    <w:p w14:paraId="09A8702D">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2FA0FB0B">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2BE01981">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______</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11FBAFF8">
      <w:pPr>
        <w:spacing w:line="440" w:lineRule="exact"/>
        <w:jc w:val="center"/>
        <w:rPr>
          <w:rFonts w:hint="default" w:ascii="Times New Roman" w:hAnsi="Times New Roman" w:cs="Times New Roman"/>
          <w:b/>
          <w:bCs/>
          <w:sz w:val="32"/>
          <w:szCs w:val="32"/>
        </w:rPr>
      </w:pPr>
    </w:p>
    <w:p w14:paraId="06E1D29C">
      <w:pPr>
        <w:spacing w:line="440" w:lineRule="exact"/>
        <w:jc w:val="center"/>
        <w:rPr>
          <w:rFonts w:hint="default" w:ascii="Times New Roman" w:hAnsi="Times New Roman" w:cs="Times New Roman"/>
          <w:b/>
          <w:bCs/>
          <w:sz w:val="32"/>
          <w:szCs w:val="32"/>
        </w:rPr>
      </w:pPr>
    </w:p>
    <w:p w14:paraId="3C823DA4">
      <w:pPr>
        <w:spacing w:line="440" w:lineRule="exact"/>
        <w:jc w:val="center"/>
        <w:rPr>
          <w:rFonts w:hint="default" w:ascii="Times New Roman" w:hAnsi="Times New Roman" w:cs="Times New Roman"/>
          <w:b/>
          <w:bCs/>
          <w:sz w:val="32"/>
          <w:szCs w:val="32"/>
        </w:rPr>
      </w:pPr>
    </w:p>
    <w:p w14:paraId="420B6132">
      <w:pPr>
        <w:spacing w:line="440" w:lineRule="exact"/>
        <w:jc w:val="center"/>
        <w:rPr>
          <w:rFonts w:hint="default" w:ascii="Times New Roman" w:hAnsi="Times New Roman" w:cs="Times New Roman"/>
          <w:b/>
          <w:bCs/>
          <w:sz w:val="32"/>
          <w:szCs w:val="32"/>
        </w:rPr>
      </w:pPr>
    </w:p>
    <w:p w14:paraId="374A7DE6">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lang w:val="en-US" w:eastAsia="zh-CN"/>
        </w:rPr>
        <w:t>6</w:t>
      </w:r>
      <w:r>
        <w:rPr>
          <w:rFonts w:hint="default" w:ascii="Times New Roman" w:hAnsi="Times New Roman" w:cs="Times New Roman"/>
        </w:rPr>
        <w:t xml:space="preserve">．参加政府采购活动前3年内在经营活动中没有重大违法记录的书面声明 </w:t>
      </w:r>
    </w:p>
    <w:p w14:paraId="0383208F">
      <w:pPr>
        <w:pStyle w:val="306"/>
        <w:spacing w:before="0" w:after="0" w:line="420" w:lineRule="exact"/>
        <w:ind w:firstLine="0"/>
        <w:rPr>
          <w:rFonts w:hint="default" w:ascii="Times New Roman" w:hAnsi="Times New Roman" w:cs="Times New Roman"/>
          <w:szCs w:val="21"/>
        </w:rPr>
      </w:pPr>
    </w:p>
    <w:p w14:paraId="4BD32F4D">
      <w:pPr>
        <w:pStyle w:val="306"/>
        <w:spacing w:before="0" w:after="0" w:line="420" w:lineRule="exact"/>
        <w:ind w:firstLine="0"/>
        <w:jc w:val="center"/>
        <w:rPr>
          <w:rFonts w:hint="default" w:ascii="Times New Roman" w:hAnsi="Times New Roman" w:cs="Times New Roman"/>
          <w:b/>
          <w:sz w:val="32"/>
          <w:szCs w:val="32"/>
        </w:rPr>
      </w:pPr>
      <w:r>
        <w:rPr>
          <w:rFonts w:hint="default" w:ascii="Times New Roman" w:hAnsi="Times New Roman" w:cs="Times New Roman"/>
          <w:b/>
          <w:sz w:val="32"/>
          <w:szCs w:val="32"/>
        </w:rPr>
        <w:t>声 明</w:t>
      </w:r>
    </w:p>
    <w:p w14:paraId="10604026">
      <w:pPr>
        <w:pStyle w:val="306"/>
        <w:spacing w:before="0" w:after="0" w:line="420" w:lineRule="exact"/>
        <w:ind w:firstLine="475"/>
        <w:rPr>
          <w:rFonts w:hint="default" w:ascii="Times New Roman" w:hAnsi="Times New Roman" w:cs="Times New Roman"/>
          <w:szCs w:val="21"/>
        </w:rPr>
      </w:pPr>
      <w:r>
        <w:rPr>
          <w:rFonts w:hint="default" w:ascii="Times New Roman" w:hAnsi="Times New Roman" w:cs="Times New Roman"/>
          <w:szCs w:val="21"/>
        </w:rPr>
        <w:t xml:space="preserve">我单位郑重声明：参加本次政府采购活动前3年内，我单位在经营活动中没有因违法经营受到刑事处罚或者责令停产停业、吊销许可证或者执照、较大数额罚款等行政处罚。 </w:t>
      </w:r>
    </w:p>
    <w:p w14:paraId="4FF22EB9">
      <w:pPr>
        <w:pStyle w:val="306"/>
        <w:spacing w:before="0" w:after="0" w:line="420" w:lineRule="exact"/>
        <w:ind w:firstLine="0"/>
        <w:jc w:val="right"/>
        <w:rPr>
          <w:rFonts w:hint="default" w:ascii="Times New Roman" w:hAnsi="Times New Roman" w:cs="Times New Roman"/>
          <w:szCs w:val="21"/>
        </w:rPr>
      </w:pPr>
    </w:p>
    <w:p w14:paraId="6F660681">
      <w:pPr>
        <w:pStyle w:val="306"/>
        <w:spacing w:before="0" w:after="0" w:line="420" w:lineRule="exact"/>
        <w:ind w:firstLine="0"/>
        <w:jc w:val="right"/>
        <w:rPr>
          <w:rFonts w:hint="default" w:ascii="Times New Roman" w:hAnsi="Times New Roman" w:cs="Times New Roman"/>
          <w:szCs w:val="21"/>
        </w:rPr>
      </w:pPr>
    </w:p>
    <w:p w14:paraId="01647F65">
      <w:pPr>
        <w:pStyle w:val="306"/>
        <w:spacing w:before="0" w:after="0" w:line="420" w:lineRule="exact"/>
        <w:ind w:firstLine="0"/>
        <w:jc w:val="right"/>
        <w:rPr>
          <w:rFonts w:hint="default" w:ascii="Times New Roman" w:hAnsi="Times New Roman" w:cs="Times New Roman"/>
          <w:szCs w:val="21"/>
        </w:rPr>
      </w:pPr>
    </w:p>
    <w:p w14:paraId="081B762D">
      <w:pPr>
        <w:pStyle w:val="306"/>
        <w:spacing w:before="0" w:after="0" w:line="420" w:lineRule="exact"/>
        <w:ind w:firstLine="0"/>
        <w:jc w:val="center"/>
        <w:rPr>
          <w:rFonts w:hint="default" w:ascii="Times New Roman" w:hAnsi="Times New Roman" w:cs="Times New Roman"/>
          <w:szCs w:val="21"/>
        </w:rPr>
      </w:pPr>
      <w:r>
        <w:rPr>
          <w:rFonts w:hint="default" w:ascii="Times New Roman" w:hAnsi="Times New Roman" w:cs="Times New Roman"/>
          <w:szCs w:val="21"/>
        </w:rPr>
        <w:t xml:space="preserve">                      供应商名称（公章）： </w:t>
      </w:r>
    </w:p>
    <w:p w14:paraId="21015587">
      <w:pPr>
        <w:pStyle w:val="306"/>
        <w:spacing w:before="0" w:after="0" w:line="420" w:lineRule="exact"/>
        <w:ind w:firstLine="0"/>
        <w:jc w:val="right"/>
        <w:rPr>
          <w:rFonts w:hint="default" w:ascii="Times New Roman" w:hAnsi="Times New Roman" w:cs="Times New Roman"/>
          <w:szCs w:val="21"/>
        </w:rPr>
      </w:pPr>
    </w:p>
    <w:p w14:paraId="7630D885">
      <w:pPr>
        <w:pStyle w:val="306"/>
        <w:spacing w:before="0" w:after="0" w:line="420" w:lineRule="exact"/>
        <w:ind w:firstLine="0"/>
        <w:jc w:val="right"/>
        <w:rPr>
          <w:rFonts w:hint="default" w:ascii="Times New Roman" w:hAnsi="Times New Roman" w:cs="Times New Roman"/>
          <w:szCs w:val="21"/>
        </w:rPr>
      </w:pPr>
    </w:p>
    <w:p w14:paraId="2217E30B">
      <w:pPr>
        <w:pStyle w:val="306"/>
        <w:spacing w:before="0" w:after="0" w:line="420" w:lineRule="exact"/>
        <w:jc w:val="right"/>
        <w:rPr>
          <w:rFonts w:hint="default" w:ascii="Times New Roman" w:hAnsi="Times New Roman" w:cs="Times New Roman"/>
          <w:szCs w:val="21"/>
        </w:rPr>
      </w:pPr>
      <w:r>
        <w:rPr>
          <w:rFonts w:hint="default" w:ascii="Times New Roman" w:hAnsi="Times New Roman" w:cs="Times New Roman"/>
          <w:szCs w:val="21"/>
        </w:rPr>
        <w:t>日    期：</w:t>
      </w:r>
      <w:r>
        <w:rPr>
          <w:rFonts w:hint="default" w:ascii="Times New Roman" w:hAnsi="Times New Roman" w:cs="Times New Roman"/>
          <w:szCs w:val="21"/>
          <w:u w:val="single"/>
        </w:rPr>
        <w:t xml:space="preserve">       </w:t>
      </w:r>
      <w:r>
        <w:rPr>
          <w:rFonts w:hint="default" w:ascii="Times New Roman" w:hAnsi="Times New Roman" w:cs="Times New Roman"/>
          <w:szCs w:val="21"/>
        </w:rPr>
        <w:t>年</w:t>
      </w:r>
      <w:r>
        <w:rPr>
          <w:rFonts w:hint="default" w:ascii="Times New Roman" w:hAnsi="Times New Roman" w:cs="Times New Roman"/>
          <w:szCs w:val="21"/>
          <w:u w:val="single"/>
        </w:rPr>
        <w:t xml:space="preserve">    </w:t>
      </w:r>
      <w:r>
        <w:rPr>
          <w:rFonts w:hint="default" w:ascii="Times New Roman" w:hAnsi="Times New Roman" w:cs="Times New Roman"/>
          <w:szCs w:val="21"/>
        </w:rPr>
        <w:t>月</w:t>
      </w:r>
      <w:r>
        <w:rPr>
          <w:rFonts w:hint="default" w:ascii="Times New Roman" w:hAnsi="Times New Roman" w:cs="Times New Roman"/>
          <w:szCs w:val="21"/>
          <w:u w:val="single"/>
        </w:rPr>
        <w:t xml:space="preserve">    </w:t>
      </w:r>
      <w:r>
        <w:rPr>
          <w:rFonts w:hint="default" w:ascii="Times New Roman" w:hAnsi="Times New Roman" w:cs="Times New Roman"/>
          <w:szCs w:val="21"/>
        </w:rPr>
        <w:t xml:space="preserve">日                        </w:t>
      </w:r>
    </w:p>
    <w:p w14:paraId="5968A37F">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lang w:val="en-US" w:eastAsia="zh-CN"/>
        </w:rPr>
        <w:t>7</w:t>
      </w:r>
      <w:r>
        <w:rPr>
          <w:rFonts w:hint="default" w:ascii="Times New Roman" w:hAnsi="Times New Roman" w:cs="Times New Roman"/>
        </w:rPr>
        <w:t>．不存在与参加本项目的其他供应商单位负责人为同一人或者存在直接控股、管理关系的承诺</w:t>
      </w:r>
    </w:p>
    <w:p w14:paraId="3FBECB69">
      <w:pPr>
        <w:pStyle w:val="306"/>
        <w:spacing w:before="0" w:after="0" w:line="420" w:lineRule="exact"/>
        <w:ind w:firstLine="0"/>
        <w:rPr>
          <w:rFonts w:hint="default" w:ascii="Times New Roman" w:hAnsi="Times New Roman" w:cs="Times New Roman"/>
          <w:szCs w:val="21"/>
        </w:rPr>
      </w:pPr>
    </w:p>
    <w:p w14:paraId="4C866E15">
      <w:pPr>
        <w:pStyle w:val="306"/>
        <w:spacing w:before="0" w:after="0" w:line="420" w:lineRule="exact"/>
        <w:ind w:firstLine="0"/>
        <w:rPr>
          <w:rFonts w:hint="default" w:ascii="Times New Roman" w:hAnsi="Times New Roman" w:cs="Times New Roman"/>
          <w:szCs w:val="21"/>
        </w:rPr>
      </w:pPr>
      <w:r>
        <w:rPr>
          <w:rFonts w:hint="default" w:ascii="Times New Roman" w:hAnsi="Times New Roman" w:cs="Times New Roman"/>
          <w:szCs w:val="21"/>
        </w:rPr>
        <w:t>致：江苏省体育装备中心</w:t>
      </w:r>
    </w:p>
    <w:p w14:paraId="5762B012">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我单位参加贵中心组织的</w:t>
      </w:r>
      <w:r>
        <w:rPr>
          <w:rFonts w:hint="default" w:ascii="Times New Roman" w:hAnsi="Times New Roman" w:cs="Times New Roman"/>
          <w:b/>
          <w:u w:val="single"/>
        </w:rPr>
        <w:t xml:space="preserve">        </w:t>
      </w:r>
      <w:r>
        <w:rPr>
          <w:rFonts w:hint="default" w:ascii="Times New Roman" w:hAnsi="Times New Roman" w:cs="Times New Roman"/>
          <w:bCs/>
        </w:rPr>
        <w:t xml:space="preserve"> </w:t>
      </w:r>
      <w:r>
        <w:rPr>
          <w:rFonts w:hint="default" w:ascii="Times New Roman" w:hAnsi="Times New Roman" w:cs="Times New Roman"/>
          <w:sz w:val="24"/>
          <w:szCs w:val="24"/>
        </w:rPr>
        <w:t>项目（项目编号：</w:t>
      </w:r>
      <w:r>
        <w:rPr>
          <w:rFonts w:hint="default" w:ascii="Times New Roman" w:hAnsi="Times New Roman" w:cs="Times New Roman"/>
          <w:b/>
          <w:sz w:val="24"/>
          <w:szCs w:val="24"/>
          <w:u w:val="single"/>
        </w:rPr>
        <w:t xml:space="preserve">          </w:t>
      </w:r>
      <w:r>
        <w:rPr>
          <w:rFonts w:hint="default" w:ascii="Times New Roman" w:hAnsi="Times New Roman" w:cs="Times New Roman"/>
          <w:sz w:val="24"/>
          <w:szCs w:val="24"/>
        </w:rPr>
        <w:t>）采购</w:t>
      </w:r>
      <w:r>
        <w:rPr>
          <w:rFonts w:hint="default" w:ascii="Times New Roman" w:hAnsi="Times New Roman" w:cs="Times New Roman"/>
          <w:sz w:val="24"/>
          <w:szCs w:val="21"/>
        </w:rPr>
        <w:t>活动，郑</w:t>
      </w:r>
      <w:r>
        <w:rPr>
          <w:rFonts w:hint="default" w:ascii="Times New Roman" w:hAnsi="Times New Roman" w:cs="Times New Roman"/>
          <w:bCs/>
          <w:sz w:val="24"/>
        </w:rPr>
        <w:t>重承诺：在参加本次采购活动不存在</w:t>
      </w:r>
      <w:r>
        <w:rPr>
          <w:rFonts w:hint="default" w:ascii="Times New Roman" w:hAnsi="Times New Roman" w:cs="Times New Roman"/>
          <w:sz w:val="24"/>
          <w:szCs w:val="21"/>
        </w:rPr>
        <w:t>与参加本项目的其他供应商单位负责人为同一人或者存在直接控股、管理关系。本</w:t>
      </w:r>
      <w:r>
        <w:rPr>
          <w:rFonts w:hint="default" w:ascii="Times New Roman" w:hAnsi="Times New Roman" w:cs="Times New Roman"/>
          <w:bCs/>
          <w:sz w:val="24"/>
        </w:rPr>
        <w:t>单位对上述承诺的真实性负责。如有虚假，将依法承担相应责任。</w:t>
      </w:r>
    </w:p>
    <w:p w14:paraId="64AAC62D">
      <w:pPr>
        <w:spacing w:line="460" w:lineRule="exact"/>
        <w:ind w:firstLine="492"/>
        <w:rPr>
          <w:rFonts w:hint="default" w:ascii="Times New Roman" w:hAnsi="Times New Roman" w:cs="Times New Roman"/>
          <w:bCs/>
          <w:sz w:val="24"/>
        </w:rPr>
      </w:pPr>
    </w:p>
    <w:p w14:paraId="14A70971">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194B8267">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2CCE56E4">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 xml:space="preserve">    </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6A4CC6C1">
      <w:pPr>
        <w:spacing w:line="460" w:lineRule="exact"/>
        <w:rPr>
          <w:rFonts w:hint="default" w:ascii="Times New Roman" w:hAnsi="Times New Roman" w:cs="Times New Roman"/>
          <w:bCs/>
          <w:sz w:val="24"/>
        </w:rPr>
      </w:pPr>
    </w:p>
    <w:p w14:paraId="43085230">
      <w:pPr>
        <w:spacing w:line="440" w:lineRule="exact"/>
        <w:jc w:val="center"/>
        <w:rPr>
          <w:rFonts w:hint="default" w:ascii="Times New Roman" w:hAnsi="Times New Roman" w:cs="Times New Roman"/>
          <w:b/>
          <w:bCs/>
          <w:sz w:val="32"/>
          <w:szCs w:val="32"/>
        </w:rPr>
      </w:pPr>
    </w:p>
    <w:p w14:paraId="72DE83CB">
      <w:pPr>
        <w:spacing w:line="440" w:lineRule="exact"/>
        <w:jc w:val="center"/>
        <w:rPr>
          <w:rFonts w:hint="default" w:ascii="Times New Roman" w:hAnsi="Times New Roman" w:cs="Times New Roman"/>
          <w:b/>
          <w:bCs/>
          <w:sz w:val="32"/>
          <w:szCs w:val="32"/>
        </w:rPr>
      </w:pPr>
    </w:p>
    <w:p w14:paraId="4199691A">
      <w:pPr>
        <w:spacing w:line="440" w:lineRule="exact"/>
        <w:jc w:val="center"/>
        <w:rPr>
          <w:rFonts w:hint="default" w:ascii="Times New Roman" w:hAnsi="Times New Roman" w:cs="Times New Roman"/>
          <w:b/>
          <w:bCs/>
          <w:sz w:val="32"/>
          <w:szCs w:val="32"/>
        </w:rPr>
      </w:pPr>
    </w:p>
    <w:p w14:paraId="3B0DF0C9">
      <w:pPr>
        <w:spacing w:line="440" w:lineRule="exact"/>
        <w:jc w:val="center"/>
        <w:rPr>
          <w:rFonts w:hint="default" w:ascii="Times New Roman" w:hAnsi="Times New Roman" w:cs="Times New Roman"/>
          <w:b/>
          <w:bCs/>
          <w:sz w:val="32"/>
          <w:szCs w:val="32"/>
        </w:rPr>
      </w:pPr>
    </w:p>
    <w:p w14:paraId="539C8BB8">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lang w:val="en-US" w:eastAsia="zh-CN"/>
        </w:rPr>
        <w:t>8</w:t>
      </w:r>
      <w:r>
        <w:rPr>
          <w:rFonts w:hint="default" w:ascii="Times New Roman" w:hAnsi="Times New Roman" w:cs="Times New Roman"/>
        </w:rPr>
        <w:t>．非联合体投标承诺函</w:t>
      </w:r>
    </w:p>
    <w:p w14:paraId="3B09F73C">
      <w:pPr>
        <w:pStyle w:val="306"/>
        <w:spacing w:before="0" w:after="0" w:line="420" w:lineRule="exact"/>
        <w:ind w:firstLine="0"/>
        <w:rPr>
          <w:rFonts w:hint="default" w:ascii="Times New Roman" w:hAnsi="Times New Roman" w:cs="Times New Roman"/>
          <w:szCs w:val="21"/>
        </w:rPr>
      </w:pPr>
    </w:p>
    <w:p w14:paraId="5EED9B62">
      <w:pPr>
        <w:pStyle w:val="306"/>
        <w:spacing w:before="0" w:after="0" w:line="420" w:lineRule="exact"/>
        <w:ind w:firstLine="0"/>
        <w:rPr>
          <w:rFonts w:hint="default" w:ascii="Times New Roman" w:hAnsi="Times New Roman" w:cs="Times New Roman"/>
          <w:szCs w:val="21"/>
        </w:rPr>
      </w:pPr>
      <w:r>
        <w:rPr>
          <w:rFonts w:hint="default" w:ascii="Times New Roman" w:hAnsi="Times New Roman" w:cs="Times New Roman"/>
          <w:szCs w:val="21"/>
        </w:rPr>
        <w:t>致：江苏省体育装备中心</w:t>
      </w:r>
    </w:p>
    <w:p w14:paraId="34C1A0DF">
      <w:pPr>
        <w:spacing w:line="460" w:lineRule="exact"/>
        <w:ind w:firstLine="492"/>
        <w:rPr>
          <w:rFonts w:hint="default" w:ascii="Times New Roman" w:hAnsi="Times New Roman" w:cs="Times New Roman"/>
          <w:bCs/>
          <w:sz w:val="24"/>
          <w:szCs w:val="24"/>
        </w:rPr>
      </w:pPr>
      <w:r>
        <w:rPr>
          <w:rFonts w:hint="default" w:ascii="Times New Roman" w:hAnsi="Times New Roman" w:cs="Times New Roman"/>
          <w:bCs/>
          <w:sz w:val="24"/>
        </w:rPr>
        <w:t>我单位参加贵中心组织的</w:t>
      </w:r>
      <w:r>
        <w:rPr>
          <w:rFonts w:hint="default" w:ascii="Times New Roman" w:hAnsi="Times New Roman" w:cs="Times New Roman"/>
          <w:b/>
          <w:u w:val="single"/>
        </w:rPr>
        <w:t xml:space="preserve">        </w:t>
      </w:r>
      <w:r>
        <w:rPr>
          <w:rFonts w:hint="default" w:ascii="Times New Roman" w:hAnsi="Times New Roman" w:cs="Times New Roman"/>
          <w:bCs/>
        </w:rPr>
        <w:t xml:space="preserve"> </w:t>
      </w:r>
      <w:r>
        <w:rPr>
          <w:rFonts w:hint="default" w:ascii="Times New Roman" w:hAnsi="Times New Roman" w:cs="Times New Roman"/>
        </w:rPr>
        <w:t>项</w:t>
      </w:r>
      <w:r>
        <w:rPr>
          <w:rFonts w:hint="default" w:ascii="Times New Roman" w:hAnsi="Times New Roman" w:cs="Times New Roman"/>
          <w:sz w:val="24"/>
          <w:szCs w:val="24"/>
        </w:rPr>
        <w:t>目（项目编号：</w:t>
      </w:r>
      <w:r>
        <w:rPr>
          <w:rFonts w:hint="default" w:ascii="Times New Roman" w:hAnsi="Times New Roman" w:cs="Times New Roman"/>
          <w:b/>
          <w:sz w:val="24"/>
          <w:szCs w:val="24"/>
          <w:u w:val="single"/>
        </w:rPr>
        <w:t xml:space="preserve">            </w:t>
      </w:r>
      <w:r>
        <w:rPr>
          <w:rFonts w:hint="default" w:ascii="Times New Roman" w:hAnsi="Times New Roman" w:cs="Times New Roman"/>
          <w:sz w:val="24"/>
          <w:szCs w:val="24"/>
        </w:rPr>
        <w:t>）采购活动，郑</w:t>
      </w:r>
      <w:r>
        <w:rPr>
          <w:rFonts w:hint="default" w:ascii="Times New Roman" w:hAnsi="Times New Roman" w:cs="Times New Roman"/>
          <w:bCs/>
          <w:sz w:val="24"/>
          <w:szCs w:val="24"/>
        </w:rPr>
        <w:t>重承诺：非联合体参与投标。</w:t>
      </w:r>
    </w:p>
    <w:p w14:paraId="384BE8A4">
      <w:pPr>
        <w:spacing w:line="460" w:lineRule="exact"/>
        <w:ind w:firstLine="492"/>
        <w:rPr>
          <w:rFonts w:hint="default" w:ascii="Times New Roman" w:hAnsi="Times New Roman" w:cs="Times New Roman"/>
          <w:bCs/>
          <w:sz w:val="24"/>
        </w:rPr>
      </w:pPr>
    </w:p>
    <w:p w14:paraId="68EE2C92">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4AC9178B">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139A3330">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 xml:space="preserve">    </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50AA756E">
      <w:pPr>
        <w:rPr>
          <w:rFonts w:hint="default" w:ascii="Times New Roman" w:hAnsi="Times New Roman" w:cs="Times New Roman"/>
        </w:rPr>
      </w:pPr>
    </w:p>
    <w:p w14:paraId="6A71C49D">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szCs w:val="24"/>
        </w:rPr>
        <w:br w:type="page" w:clear="all"/>
      </w:r>
      <w:r>
        <w:rPr>
          <w:rFonts w:hint="default" w:ascii="Times New Roman" w:hAnsi="Times New Roman" w:cs="Times New Roman"/>
          <w:lang w:val="en-US" w:eastAsia="zh-CN"/>
        </w:rPr>
        <w:t>9</w:t>
      </w:r>
      <w:r>
        <w:rPr>
          <w:rFonts w:hint="default" w:ascii="Times New Roman" w:hAnsi="Times New Roman" w:cs="Times New Roman"/>
        </w:rPr>
        <w:t>．技术要求响应偏离表</w:t>
      </w:r>
    </w:p>
    <w:tbl>
      <w:tblPr>
        <w:tblStyle w:val="31"/>
        <w:tblW w:w="8472" w:type="dxa"/>
        <w:tblInd w:w="-108" w:type="dxa"/>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Layout w:type="fixed"/>
        <w:tblCellMar>
          <w:top w:w="0" w:type="dxa"/>
          <w:left w:w="108" w:type="dxa"/>
          <w:bottom w:w="0" w:type="dxa"/>
          <w:right w:w="108" w:type="dxa"/>
        </w:tblCellMar>
      </w:tblPr>
      <w:tblGrid>
        <w:gridCol w:w="817"/>
        <w:gridCol w:w="1985"/>
        <w:gridCol w:w="2976"/>
        <w:gridCol w:w="1418"/>
        <w:gridCol w:w="1276"/>
      </w:tblGrid>
      <w:tr w14:paraId="676D528F">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643" w:hRule="atLeast"/>
        </w:trPr>
        <w:tc>
          <w:tcPr>
            <w:tcW w:w="817" w:type="dxa"/>
            <w:noWrap w:val="0"/>
            <w:vAlign w:val="center"/>
          </w:tcPr>
          <w:p w14:paraId="6EDA55F1">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1985" w:type="dxa"/>
            <w:noWrap w:val="0"/>
            <w:vAlign w:val="center"/>
          </w:tcPr>
          <w:p w14:paraId="4F2DD0D3">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招标要求</w:t>
            </w:r>
          </w:p>
        </w:tc>
        <w:tc>
          <w:tcPr>
            <w:tcW w:w="2976" w:type="dxa"/>
            <w:noWrap w:val="0"/>
            <w:vAlign w:val="center"/>
          </w:tcPr>
          <w:p w14:paraId="58325218">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投标响应</w:t>
            </w:r>
          </w:p>
        </w:tc>
        <w:tc>
          <w:tcPr>
            <w:tcW w:w="1418" w:type="dxa"/>
            <w:noWrap w:val="0"/>
            <w:vAlign w:val="center"/>
          </w:tcPr>
          <w:p w14:paraId="3BFA309F">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符合/</w:t>
            </w:r>
          </w:p>
          <w:p w14:paraId="0D0ACB16">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正偏离/</w:t>
            </w:r>
          </w:p>
          <w:p w14:paraId="0503BEF5">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负偏离</w:t>
            </w:r>
          </w:p>
        </w:tc>
        <w:tc>
          <w:tcPr>
            <w:tcW w:w="1276" w:type="dxa"/>
            <w:noWrap w:val="0"/>
            <w:vAlign w:val="center"/>
          </w:tcPr>
          <w:p w14:paraId="372A009E">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备注</w:t>
            </w:r>
          </w:p>
        </w:tc>
      </w:tr>
      <w:tr w14:paraId="56179C72">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47" w:hRule="atLeast"/>
        </w:trPr>
        <w:tc>
          <w:tcPr>
            <w:tcW w:w="817" w:type="dxa"/>
            <w:noWrap w:val="0"/>
            <w:vAlign w:val="center"/>
          </w:tcPr>
          <w:p w14:paraId="397C07D5">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1</w:t>
            </w:r>
          </w:p>
        </w:tc>
        <w:tc>
          <w:tcPr>
            <w:tcW w:w="1985" w:type="dxa"/>
            <w:noWrap w:val="0"/>
            <w:vAlign w:val="top"/>
          </w:tcPr>
          <w:p w14:paraId="4522F785">
            <w:pPr>
              <w:spacing w:before="145"/>
              <w:jc w:val="center"/>
              <w:rPr>
                <w:rStyle w:val="268"/>
                <w:rFonts w:hint="default" w:ascii="Times New Roman" w:hAnsi="Times New Roman" w:eastAsia="仿宋_GB2312" w:cs="Times New Roman"/>
                <w:sz w:val="24"/>
              </w:rPr>
            </w:pPr>
          </w:p>
        </w:tc>
        <w:tc>
          <w:tcPr>
            <w:tcW w:w="2976" w:type="dxa"/>
            <w:noWrap w:val="0"/>
            <w:vAlign w:val="center"/>
          </w:tcPr>
          <w:p w14:paraId="3AD46282">
            <w:pPr>
              <w:spacing w:before="145"/>
              <w:rPr>
                <w:rFonts w:hint="default" w:ascii="Times New Roman" w:hAnsi="Times New Roman" w:cs="Times New Roman"/>
                <w:sz w:val="24"/>
                <w:szCs w:val="24"/>
              </w:rPr>
            </w:pPr>
          </w:p>
        </w:tc>
        <w:tc>
          <w:tcPr>
            <w:tcW w:w="1418" w:type="dxa"/>
            <w:noWrap w:val="0"/>
            <w:vAlign w:val="center"/>
          </w:tcPr>
          <w:p w14:paraId="75EEFE3E">
            <w:pPr>
              <w:spacing w:before="145"/>
              <w:rPr>
                <w:rFonts w:hint="default" w:ascii="Times New Roman" w:hAnsi="Times New Roman" w:cs="Times New Roman"/>
                <w:sz w:val="24"/>
                <w:szCs w:val="24"/>
              </w:rPr>
            </w:pPr>
          </w:p>
        </w:tc>
        <w:tc>
          <w:tcPr>
            <w:tcW w:w="1276" w:type="dxa"/>
            <w:noWrap w:val="0"/>
            <w:vAlign w:val="center"/>
          </w:tcPr>
          <w:p w14:paraId="4B8ADF82">
            <w:pPr>
              <w:spacing w:before="145"/>
              <w:rPr>
                <w:rFonts w:hint="default" w:ascii="Times New Roman" w:hAnsi="Times New Roman" w:cs="Times New Roman"/>
                <w:sz w:val="24"/>
                <w:szCs w:val="24"/>
              </w:rPr>
            </w:pPr>
          </w:p>
        </w:tc>
      </w:tr>
      <w:tr w14:paraId="37F9F3F0">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12" w:hRule="atLeast"/>
        </w:trPr>
        <w:tc>
          <w:tcPr>
            <w:tcW w:w="817" w:type="dxa"/>
            <w:noWrap w:val="0"/>
            <w:vAlign w:val="center"/>
          </w:tcPr>
          <w:p w14:paraId="49C4F993">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2</w:t>
            </w:r>
          </w:p>
        </w:tc>
        <w:tc>
          <w:tcPr>
            <w:tcW w:w="1985" w:type="dxa"/>
            <w:noWrap w:val="0"/>
            <w:vAlign w:val="top"/>
          </w:tcPr>
          <w:p w14:paraId="7EC227D1">
            <w:pPr>
              <w:spacing w:before="145"/>
              <w:jc w:val="center"/>
              <w:rPr>
                <w:rStyle w:val="268"/>
                <w:rFonts w:hint="default" w:ascii="Times New Roman" w:hAnsi="Times New Roman" w:cs="Times New Roman"/>
                <w:sz w:val="24"/>
              </w:rPr>
            </w:pPr>
          </w:p>
        </w:tc>
        <w:tc>
          <w:tcPr>
            <w:tcW w:w="2976" w:type="dxa"/>
            <w:noWrap w:val="0"/>
            <w:vAlign w:val="center"/>
          </w:tcPr>
          <w:p w14:paraId="27ED48A8">
            <w:pPr>
              <w:spacing w:before="145"/>
              <w:rPr>
                <w:rFonts w:hint="default" w:ascii="Times New Roman" w:hAnsi="Times New Roman" w:cs="Times New Roman"/>
                <w:sz w:val="24"/>
                <w:szCs w:val="24"/>
              </w:rPr>
            </w:pPr>
          </w:p>
        </w:tc>
        <w:tc>
          <w:tcPr>
            <w:tcW w:w="1418" w:type="dxa"/>
            <w:noWrap w:val="0"/>
            <w:vAlign w:val="center"/>
          </w:tcPr>
          <w:p w14:paraId="35F9E5AA">
            <w:pPr>
              <w:spacing w:before="145"/>
              <w:rPr>
                <w:rFonts w:hint="default" w:ascii="Times New Roman" w:hAnsi="Times New Roman" w:cs="Times New Roman"/>
                <w:sz w:val="24"/>
                <w:szCs w:val="24"/>
              </w:rPr>
            </w:pPr>
          </w:p>
        </w:tc>
        <w:tc>
          <w:tcPr>
            <w:tcW w:w="1276" w:type="dxa"/>
            <w:noWrap w:val="0"/>
            <w:vAlign w:val="center"/>
          </w:tcPr>
          <w:p w14:paraId="377F22BF">
            <w:pPr>
              <w:spacing w:before="145"/>
              <w:rPr>
                <w:rFonts w:hint="default" w:ascii="Times New Roman" w:hAnsi="Times New Roman" w:cs="Times New Roman"/>
                <w:sz w:val="24"/>
                <w:szCs w:val="24"/>
              </w:rPr>
            </w:pPr>
          </w:p>
        </w:tc>
      </w:tr>
      <w:tr w14:paraId="3769006E">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41" w:hRule="atLeast"/>
        </w:trPr>
        <w:tc>
          <w:tcPr>
            <w:tcW w:w="817" w:type="dxa"/>
            <w:noWrap w:val="0"/>
            <w:vAlign w:val="center"/>
          </w:tcPr>
          <w:p w14:paraId="6D3C9A69">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3</w:t>
            </w:r>
          </w:p>
        </w:tc>
        <w:tc>
          <w:tcPr>
            <w:tcW w:w="1985" w:type="dxa"/>
            <w:noWrap w:val="0"/>
            <w:vAlign w:val="top"/>
          </w:tcPr>
          <w:p w14:paraId="28FFF4B1">
            <w:pPr>
              <w:spacing w:before="145"/>
              <w:jc w:val="center"/>
              <w:rPr>
                <w:rStyle w:val="268"/>
                <w:rFonts w:hint="default" w:ascii="Times New Roman" w:hAnsi="Times New Roman" w:cs="Times New Roman"/>
                <w:sz w:val="24"/>
              </w:rPr>
            </w:pPr>
          </w:p>
        </w:tc>
        <w:tc>
          <w:tcPr>
            <w:tcW w:w="2976" w:type="dxa"/>
            <w:noWrap w:val="0"/>
            <w:vAlign w:val="center"/>
          </w:tcPr>
          <w:p w14:paraId="40AAB5BC">
            <w:pPr>
              <w:spacing w:before="145"/>
              <w:rPr>
                <w:rFonts w:hint="default" w:ascii="Times New Roman" w:hAnsi="Times New Roman" w:cs="Times New Roman"/>
                <w:sz w:val="24"/>
                <w:szCs w:val="24"/>
              </w:rPr>
            </w:pPr>
          </w:p>
        </w:tc>
        <w:tc>
          <w:tcPr>
            <w:tcW w:w="1418" w:type="dxa"/>
            <w:noWrap w:val="0"/>
            <w:vAlign w:val="center"/>
          </w:tcPr>
          <w:p w14:paraId="2D5B714A">
            <w:pPr>
              <w:spacing w:before="145"/>
              <w:rPr>
                <w:rFonts w:hint="default" w:ascii="Times New Roman" w:hAnsi="Times New Roman" w:cs="Times New Roman"/>
                <w:sz w:val="24"/>
                <w:szCs w:val="24"/>
              </w:rPr>
            </w:pPr>
          </w:p>
        </w:tc>
        <w:tc>
          <w:tcPr>
            <w:tcW w:w="1276" w:type="dxa"/>
            <w:noWrap w:val="0"/>
            <w:vAlign w:val="center"/>
          </w:tcPr>
          <w:p w14:paraId="20E38349">
            <w:pPr>
              <w:spacing w:before="145"/>
              <w:rPr>
                <w:rFonts w:hint="default" w:ascii="Times New Roman" w:hAnsi="Times New Roman" w:cs="Times New Roman"/>
                <w:sz w:val="24"/>
                <w:szCs w:val="24"/>
              </w:rPr>
            </w:pPr>
          </w:p>
        </w:tc>
      </w:tr>
      <w:tr w14:paraId="4BD8C403">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41" w:hRule="atLeast"/>
        </w:trPr>
        <w:tc>
          <w:tcPr>
            <w:tcW w:w="817" w:type="dxa"/>
            <w:noWrap w:val="0"/>
            <w:vAlign w:val="center"/>
          </w:tcPr>
          <w:p w14:paraId="297B431D">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4</w:t>
            </w:r>
          </w:p>
        </w:tc>
        <w:tc>
          <w:tcPr>
            <w:tcW w:w="1985" w:type="dxa"/>
            <w:noWrap w:val="0"/>
            <w:vAlign w:val="top"/>
          </w:tcPr>
          <w:p w14:paraId="26FD33EA">
            <w:pPr>
              <w:spacing w:before="145"/>
              <w:jc w:val="center"/>
              <w:rPr>
                <w:rStyle w:val="268"/>
                <w:rFonts w:hint="default" w:ascii="Times New Roman" w:hAnsi="Times New Roman" w:eastAsia="仿宋_GB2312" w:cs="Times New Roman"/>
                <w:sz w:val="24"/>
              </w:rPr>
            </w:pPr>
          </w:p>
        </w:tc>
        <w:tc>
          <w:tcPr>
            <w:tcW w:w="2976" w:type="dxa"/>
            <w:noWrap w:val="0"/>
            <w:vAlign w:val="center"/>
          </w:tcPr>
          <w:p w14:paraId="5DE4E018">
            <w:pPr>
              <w:spacing w:before="145"/>
              <w:rPr>
                <w:rFonts w:hint="default" w:ascii="Times New Roman" w:hAnsi="Times New Roman" w:cs="Times New Roman"/>
                <w:sz w:val="24"/>
                <w:szCs w:val="24"/>
              </w:rPr>
            </w:pPr>
          </w:p>
        </w:tc>
        <w:tc>
          <w:tcPr>
            <w:tcW w:w="1418" w:type="dxa"/>
            <w:noWrap w:val="0"/>
            <w:vAlign w:val="center"/>
          </w:tcPr>
          <w:p w14:paraId="0532A86F">
            <w:pPr>
              <w:spacing w:before="145"/>
              <w:rPr>
                <w:rFonts w:hint="default" w:ascii="Times New Roman" w:hAnsi="Times New Roman" w:cs="Times New Roman"/>
                <w:sz w:val="24"/>
                <w:szCs w:val="24"/>
              </w:rPr>
            </w:pPr>
          </w:p>
        </w:tc>
        <w:tc>
          <w:tcPr>
            <w:tcW w:w="1276" w:type="dxa"/>
            <w:noWrap w:val="0"/>
            <w:vAlign w:val="center"/>
          </w:tcPr>
          <w:p w14:paraId="51CAD2FA">
            <w:pPr>
              <w:spacing w:before="145"/>
              <w:rPr>
                <w:rFonts w:hint="default" w:ascii="Times New Roman" w:hAnsi="Times New Roman" w:cs="Times New Roman"/>
                <w:sz w:val="24"/>
                <w:szCs w:val="24"/>
              </w:rPr>
            </w:pPr>
          </w:p>
        </w:tc>
      </w:tr>
      <w:tr w14:paraId="06FABC6F">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61" w:hRule="atLeast"/>
        </w:trPr>
        <w:tc>
          <w:tcPr>
            <w:tcW w:w="817" w:type="dxa"/>
            <w:noWrap w:val="0"/>
            <w:vAlign w:val="center"/>
          </w:tcPr>
          <w:p w14:paraId="6DC28F69">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5</w:t>
            </w:r>
          </w:p>
        </w:tc>
        <w:tc>
          <w:tcPr>
            <w:tcW w:w="1985" w:type="dxa"/>
            <w:noWrap w:val="0"/>
            <w:vAlign w:val="top"/>
          </w:tcPr>
          <w:p w14:paraId="550AB0F3">
            <w:pPr>
              <w:spacing w:before="145"/>
              <w:jc w:val="center"/>
              <w:rPr>
                <w:rStyle w:val="268"/>
                <w:rFonts w:hint="default" w:ascii="Times New Roman" w:hAnsi="Times New Roman" w:cs="Times New Roman"/>
                <w:sz w:val="24"/>
              </w:rPr>
            </w:pPr>
          </w:p>
        </w:tc>
        <w:tc>
          <w:tcPr>
            <w:tcW w:w="2976" w:type="dxa"/>
            <w:noWrap w:val="0"/>
            <w:vAlign w:val="center"/>
          </w:tcPr>
          <w:p w14:paraId="11353322">
            <w:pPr>
              <w:spacing w:before="145"/>
              <w:rPr>
                <w:rFonts w:hint="default" w:ascii="Times New Roman" w:hAnsi="Times New Roman" w:cs="Times New Roman"/>
                <w:sz w:val="24"/>
                <w:szCs w:val="24"/>
              </w:rPr>
            </w:pPr>
          </w:p>
        </w:tc>
        <w:tc>
          <w:tcPr>
            <w:tcW w:w="1418" w:type="dxa"/>
            <w:noWrap w:val="0"/>
            <w:vAlign w:val="center"/>
          </w:tcPr>
          <w:p w14:paraId="2FDC328F">
            <w:pPr>
              <w:spacing w:before="145"/>
              <w:rPr>
                <w:rFonts w:hint="default" w:ascii="Times New Roman" w:hAnsi="Times New Roman" w:cs="Times New Roman"/>
                <w:sz w:val="24"/>
                <w:szCs w:val="24"/>
              </w:rPr>
            </w:pPr>
          </w:p>
        </w:tc>
        <w:tc>
          <w:tcPr>
            <w:tcW w:w="1276" w:type="dxa"/>
            <w:noWrap w:val="0"/>
            <w:vAlign w:val="center"/>
          </w:tcPr>
          <w:p w14:paraId="4647D556">
            <w:pPr>
              <w:spacing w:before="145"/>
              <w:rPr>
                <w:rFonts w:hint="default" w:ascii="Times New Roman" w:hAnsi="Times New Roman" w:cs="Times New Roman"/>
                <w:sz w:val="24"/>
                <w:szCs w:val="24"/>
              </w:rPr>
            </w:pPr>
          </w:p>
        </w:tc>
      </w:tr>
      <w:tr w14:paraId="1F548CE1">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76" w:hRule="atLeast"/>
        </w:trPr>
        <w:tc>
          <w:tcPr>
            <w:tcW w:w="817" w:type="dxa"/>
            <w:noWrap w:val="0"/>
            <w:vAlign w:val="center"/>
          </w:tcPr>
          <w:p w14:paraId="599E5641">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6</w:t>
            </w:r>
          </w:p>
        </w:tc>
        <w:tc>
          <w:tcPr>
            <w:tcW w:w="1985" w:type="dxa"/>
            <w:noWrap w:val="0"/>
            <w:vAlign w:val="top"/>
          </w:tcPr>
          <w:p w14:paraId="7A772B51">
            <w:pPr>
              <w:spacing w:before="145"/>
              <w:jc w:val="center"/>
              <w:rPr>
                <w:rStyle w:val="268"/>
                <w:rFonts w:hint="default" w:ascii="Times New Roman" w:hAnsi="Times New Roman" w:cs="Times New Roman"/>
                <w:sz w:val="24"/>
              </w:rPr>
            </w:pPr>
          </w:p>
        </w:tc>
        <w:tc>
          <w:tcPr>
            <w:tcW w:w="2976" w:type="dxa"/>
            <w:noWrap w:val="0"/>
            <w:vAlign w:val="center"/>
          </w:tcPr>
          <w:p w14:paraId="6A6B4AE8">
            <w:pPr>
              <w:spacing w:before="145"/>
              <w:rPr>
                <w:rFonts w:hint="default" w:ascii="Times New Roman" w:hAnsi="Times New Roman" w:cs="Times New Roman"/>
                <w:sz w:val="24"/>
                <w:szCs w:val="24"/>
              </w:rPr>
            </w:pPr>
          </w:p>
        </w:tc>
        <w:tc>
          <w:tcPr>
            <w:tcW w:w="1418" w:type="dxa"/>
            <w:noWrap w:val="0"/>
            <w:vAlign w:val="center"/>
          </w:tcPr>
          <w:p w14:paraId="6665A466">
            <w:pPr>
              <w:spacing w:before="145"/>
              <w:rPr>
                <w:rFonts w:hint="default" w:ascii="Times New Roman" w:hAnsi="Times New Roman" w:cs="Times New Roman"/>
                <w:sz w:val="24"/>
                <w:szCs w:val="24"/>
              </w:rPr>
            </w:pPr>
          </w:p>
        </w:tc>
        <w:tc>
          <w:tcPr>
            <w:tcW w:w="1276" w:type="dxa"/>
            <w:noWrap w:val="0"/>
            <w:vAlign w:val="center"/>
          </w:tcPr>
          <w:p w14:paraId="248C202B">
            <w:pPr>
              <w:spacing w:before="145"/>
              <w:rPr>
                <w:rFonts w:hint="default" w:ascii="Times New Roman" w:hAnsi="Times New Roman" w:cs="Times New Roman"/>
                <w:sz w:val="24"/>
                <w:szCs w:val="24"/>
              </w:rPr>
            </w:pPr>
          </w:p>
        </w:tc>
      </w:tr>
      <w:tr w14:paraId="1DEE8467">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01" w:hRule="atLeast"/>
        </w:trPr>
        <w:tc>
          <w:tcPr>
            <w:tcW w:w="817" w:type="dxa"/>
            <w:noWrap w:val="0"/>
            <w:vAlign w:val="center"/>
          </w:tcPr>
          <w:p w14:paraId="05108870">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1985" w:type="dxa"/>
            <w:noWrap w:val="0"/>
            <w:vAlign w:val="top"/>
          </w:tcPr>
          <w:p w14:paraId="1D7DB908">
            <w:pPr>
              <w:spacing w:before="145"/>
              <w:jc w:val="center"/>
              <w:rPr>
                <w:rStyle w:val="268"/>
                <w:rFonts w:hint="default" w:ascii="Times New Roman" w:hAnsi="Times New Roman" w:eastAsia="仿宋_GB2312" w:cs="Times New Roman"/>
                <w:sz w:val="24"/>
              </w:rPr>
            </w:pPr>
          </w:p>
        </w:tc>
        <w:tc>
          <w:tcPr>
            <w:tcW w:w="2976" w:type="dxa"/>
            <w:noWrap w:val="0"/>
            <w:vAlign w:val="center"/>
          </w:tcPr>
          <w:p w14:paraId="24EF3E8F">
            <w:pPr>
              <w:spacing w:before="145"/>
              <w:rPr>
                <w:rFonts w:hint="default" w:ascii="Times New Roman" w:hAnsi="Times New Roman" w:cs="Times New Roman"/>
                <w:sz w:val="24"/>
              </w:rPr>
            </w:pPr>
          </w:p>
        </w:tc>
        <w:tc>
          <w:tcPr>
            <w:tcW w:w="1418" w:type="dxa"/>
            <w:noWrap w:val="0"/>
            <w:vAlign w:val="center"/>
          </w:tcPr>
          <w:p w14:paraId="5C975533">
            <w:pPr>
              <w:spacing w:before="145"/>
              <w:rPr>
                <w:rFonts w:hint="default" w:ascii="Times New Roman" w:hAnsi="Times New Roman" w:cs="Times New Roman"/>
                <w:sz w:val="24"/>
              </w:rPr>
            </w:pPr>
          </w:p>
        </w:tc>
        <w:tc>
          <w:tcPr>
            <w:tcW w:w="1276" w:type="dxa"/>
            <w:noWrap w:val="0"/>
            <w:vAlign w:val="center"/>
          </w:tcPr>
          <w:p w14:paraId="7C5DA0AB">
            <w:pPr>
              <w:spacing w:before="145"/>
              <w:rPr>
                <w:rFonts w:hint="default" w:ascii="Times New Roman" w:hAnsi="Times New Roman" w:cs="Times New Roman"/>
                <w:sz w:val="24"/>
              </w:rPr>
            </w:pPr>
          </w:p>
        </w:tc>
      </w:tr>
    </w:tbl>
    <w:p w14:paraId="06356E3B">
      <w:pPr>
        <w:spacing w:before="145"/>
        <w:rPr>
          <w:rFonts w:hint="default" w:ascii="Times New Roman" w:hAnsi="Times New Roman" w:cs="Times New Roman"/>
          <w:sz w:val="24"/>
          <w:szCs w:val="24"/>
        </w:rPr>
      </w:pPr>
      <w:r>
        <w:rPr>
          <w:rFonts w:hint="default" w:ascii="Times New Roman" w:hAnsi="Times New Roman" w:cs="Times New Roman"/>
          <w:sz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21647021">
      <w:pPr>
        <w:pStyle w:val="189"/>
        <w:spacing w:line="500" w:lineRule="exact"/>
        <w:ind w:left="15" w:hanging="120"/>
        <w:rPr>
          <w:rFonts w:hint="default" w:ascii="Times New Roman" w:hAnsi="Times New Roman" w:cs="Times New Roman"/>
          <w:sz w:val="24"/>
          <w:szCs w:val="24"/>
        </w:rPr>
      </w:pPr>
    </w:p>
    <w:p w14:paraId="12DE85D7">
      <w:pPr>
        <w:pStyle w:val="189"/>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364A45E9">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05486AE2">
      <w:pPr>
        <w:rPr>
          <w:rFonts w:hint="default" w:ascii="Times New Roman" w:hAnsi="Times New Roman" w:eastAsia="仿宋_GB2312" w:cs="Times New Roman"/>
          <w:sz w:val="24"/>
        </w:rPr>
      </w:pPr>
    </w:p>
    <w:p w14:paraId="21DA5F74">
      <w:pPr>
        <w:rPr>
          <w:rFonts w:hint="default" w:ascii="Times New Roman" w:hAnsi="Times New Roman" w:cs="Times New Roman"/>
          <w:sz w:val="24"/>
        </w:rPr>
      </w:pPr>
      <w:r>
        <w:rPr>
          <w:rFonts w:hint="default" w:ascii="Times New Roman" w:hAnsi="Times New Roman" w:cs="Times New Roman"/>
          <w:sz w:val="24"/>
        </w:rPr>
        <w:t>填写说明：</w:t>
      </w:r>
    </w:p>
    <w:p w14:paraId="403C263B">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1、供应商须根据第四章《项目需求》要求填写此表，作为投标文件的组成部分。</w:t>
      </w:r>
    </w:p>
    <w:p w14:paraId="203CB1A8">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2、所有偏离必须在本表中列出，未在本偏离表中列出偏离，将视为供应商已完全接受招标文件要求。</w:t>
      </w:r>
    </w:p>
    <w:p w14:paraId="6EF005B9">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3、偏离包括正、负偏离，正偏离指供应商的响应高于招标文件要求，负偏离指供应商的响应低于招标文件要求。</w:t>
      </w:r>
    </w:p>
    <w:p w14:paraId="2DFA17F0">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rPr>
        <w:t>1</w:t>
      </w:r>
      <w:r>
        <w:rPr>
          <w:rFonts w:hint="default" w:ascii="Times New Roman" w:hAnsi="Times New Roman" w:cs="Times New Roman"/>
          <w:lang w:val="en-US" w:eastAsia="zh-CN"/>
        </w:rPr>
        <w:t>0</w:t>
      </w:r>
      <w:r>
        <w:rPr>
          <w:rFonts w:hint="default" w:ascii="Times New Roman" w:hAnsi="Times New Roman" w:cs="Times New Roman"/>
        </w:rPr>
        <w:t>．商务要求响应偏离表</w:t>
      </w:r>
    </w:p>
    <w:tbl>
      <w:tblPr>
        <w:tblStyle w:val="31"/>
        <w:tblW w:w="8472" w:type="dxa"/>
        <w:tblInd w:w="-108" w:type="dxa"/>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Layout w:type="fixed"/>
        <w:tblCellMar>
          <w:top w:w="0" w:type="dxa"/>
          <w:left w:w="108" w:type="dxa"/>
          <w:bottom w:w="0" w:type="dxa"/>
          <w:right w:w="108" w:type="dxa"/>
        </w:tblCellMar>
      </w:tblPr>
      <w:tblGrid>
        <w:gridCol w:w="817"/>
        <w:gridCol w:w="1985"/>
        <w:gridCol w:w="2526"/>
        <w:gridCol w:w="1260"/>
        <w:gridCol w:w="1884"/>
      </w:tblGrid>
      <w:tr w14:paraId="695C620B">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643" w:hRule="atLeast"/>
        </w:trPr>
        <w:tc>
          <w:tcPr>
            <w:tcW w:w="817" w:type="dxa"/>
            <w:noWrap w:val="0"/>
            <w:vAlign w:val="center"/>
          </w:tcPr>
          <w:p w14:paraId="0F74622A">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1985" w:type="dxa"/>
            <w:noWrap w:val="0"/>
            <w:vAlign w:val="center"/>
          </w:tcPr>
          <w:p w14:paraId="7E403E8E">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招标要求</w:t>
            </w:r>
          </w:p>
        </w:tc>
        <w:tc>
          <w:tcPr>
            <w:tcW w:w="2526" w:type="dxa"/>
            <w:noWrap w:val="0"/>
            <w:vAlign w:val="center"/>
          </w:tcPr>
          <w:p w14:paraId="60E06AFA">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投标响应</w:t>
            </w:r>
          </w:p>
        </w:tc>
        <w:tc>
          <w:tcPr>
            <w:tcW w:w="1260" w:type="dxa"/>
            <w:noWrap w:val="0"/>
            <w:vAlign w:val="center"/>
          </w:tcPr>
          <w:p w14:paraId="1FF53E8D">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符合/</w:t>
            </w:r>
          </w:p>
          <w:p w14:paraId="48ABD54F">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正偏离/</w:t>
            </w:r>
          </w:p>
          <w:p w14:paraId="2B9B085B">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负偏离</w:t>
            </w:r>
          </w:p>
        </w:tc>
        <w:tc>
          <w:tcPr>
            <w:tcW w:w="1884" w:type="dxa"/>
            <w:noWrap w:val="0"/>
            <w:vAlign w:val="center"/>
          </w:tcPr>
          <w:p w14:paraId="52706BE4">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备注</w:t>
            </w:r>
          </w:p>
        </w:tc>
      </w:tr>
      <w:tr w14:paraId="37920128">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47" w:hRule="atLeast"/>
        </w:trPr>
        <w:tc>
          <w:tcPr>
            <w:tcW w:w="817" w:type="dxa"/>
            <w:noWrap w:val="0"/>
            <w:vAlign w:val="center"/>
          </w:tcPr>
          <w:p w14:paraId="2495CF3B">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1</w:t>
            </w:r>
          </w:p>
        </w:tc>
        <w:tc>
          <w:tcPr>
            <w:tcW w:w="1985" w:type="dxa"/>
            <w:noWrap w:val="0"/>
            <w:vAlign w:val="top"/>
          </w:tcPr>
          <w:p w14:paraId="20912570">
            <w:pPr>
              <w:spacing w:before="145"/>
              <w:jc w:val="center"/>
              <w:rPr>
                <w:rStyle w:val="268"/>
                <w:rFonts w:hint="default" w:ascii="Times New Roman" w:hAnsi="Times New Roman" w:eastAsia="仿宋_GB2312" w:cs="Times New Roman"/>
                <w:sz w:val="24"/>
              </w:rPr>
            </w:pPr>
          </w:p>
        </w:tc>
        <w:tc>
          <w:tcPr>
            <w:tcW w:w="2526" w:type="dxa"/>
            <w:noWrap w:val="0"/>
            <w:vAlign w:val="center"/>
          </w:tcPr>
          <w:p w14:paraId="3646F1B5">
            <w:pPr>
              <w:spacing w:before="145"/>
              <w:rPr>
                <w:rFonts w:hint="default" w:ascii="Times New Roman" w:hAnsi="Times New Roman" w:cs="Times New Roman"/>
                <w:sz w:val="24"/>
                <w:szCs w:val="24"/>
              </w:rPr>
            </w:pPr>
          </w:p>
        </w:tc>
        <w:tc>
          <w:tcPr>
            <w:tcW w:w="1260" w:type="dxa"/>
            <w:noWrap w:val="0"/>
            <w:vAlign w:val="center"/>
          </w:tcPr>
          <w:p w14:paraId="1EEB4DF8">
            <w:pPr>
              <w:spacing w:before="145"/>
              <w:rPr>
                <w:rFonts w:hint="default" w:ascii="Times New Roman" w:hAnsi="Times New Roman" w:cs="Times New Roman"/>
                <w:sz w:val="24"/>
                <w:szCs w:val="24"/>
              </w:rPr>
            </w:pPr>
          </w:p>
        </w:tc>
        <w:tc>
          <w:tcPr>
            <w:tcW w:w="1884" w:type="dxa"/>
            <w:noWrap w:val="0"/>
            <w:vAlign w:val="center"/>
          </w:tcPr>
          <w:p w14:paraId="62303636">
            <w:pPr>
              <w:spacing w:before="145"/>
              <w:rPr>
                <w:rFonts w:hint="default" w:ascii="Times New Roman" w:hAnsi="Times New Roman" w:cs="Times New Roman"/>
                <w:sz w:val="24"/>
                <w:szCs w:val="24"/>
              </w:rPr>
            </w:pPr>
          </w:p>
        </w:tc>
      </w:tr>
      <w:tr w14:paraId="3B178FB3">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12" w:hRule="atLeast"/>
        </w:trPr>
        <w:tc>
          <w:tcPr>
            <w:tcW w:w="817" w:type="dxa"/>
            <w:noWrap w:val="0"/>
            <w:vAlign w:val="center"/>
          </w:tcPr>
          <w:p w14:paraId="4F67BFCA">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2</w:t>
            </w:r>
          </w:p>
        </w:tc>
        <w:tc>
          <w:tcPr>
            <w:tcW w:w="1985" w:type="dxa"/>
            <w:noWrap w:val="0"/>
            <w:vAlign w:val="top"/>
          </w:tcPr>
          <w:p w14:paraId="029BA7D7">
            <w:pPr>
              <w:spacing w:before="145"/>
              <w:jc w:val="center"/>
              <w:rPr>
                <w:rStyle w:val="268"/>
                <w:rFonts w:hint="default" w:ascii="Times New Roman" w:hAnsi="Times New Roman" w:cs="Times New Roman"/>
                <w:sz w:val="24"/>
              </w:rPr>
            </w:pPr>
          </w:p>
        </w:tc>
        <w:tc>
          <w:tcPr>
            <w:tcW w:w="2526" w:type="dxa"/>
            <w:noWrap w:val="0"/>
            <w:vAlign w:val="center"/>
          </w:tcPr>
          <w:p w14:paraId="011D5924">
            <w:pPr>
              <w:spacing w:before="145"/>
              <w:rPr>
                <w:rFonts w:hint="default" w:ascii="Times New Roman" w:hAnsi="Times New Roman" w:cs="Times New Roman"/>
                <w:sz w:val="24"/>
                <w:szCs w:val="24"/>
              </w:rPr>
            </w:pPr>
          </w:p>
        </w:tc>
        <w:tc>
          <w:tcPr>
            <w:tcW w:w="1260" w:type="dxa"/>
            <w:noWrap w:val="0"/>
            <w:vAlign w:val="center"/>
          </w:tcPr>
          <w:p w14:paraId="59CD5227">
            <w:pPr>
              <w:spacing w:before="145"/>
              <w:rPr>
                <w:rFonts w:hint="default" w:ascii="Times New Roman" w:hAnsi="Times New Roman" w:cs="Times New Roman"/>
                <w:sz w:val="24"/>
                <w:szCs w:val="24"/>
              </w:rPr>
            </w:pPr>
          </w:p>
        </w:tc>
        <w:tc>
          <w:tcPr>
            <w:tcW w:w="1884" w:type="dxa"/>
            <w:noWrap w:val="0"/>
            <w:vAlign w:val="center"/>
          </w:tcPr>
          <w:p w14:paraId="058D6295">
            <w:pPr>
              <w:spacing w:before="145"/>
              <w:rPr>
                <w:rFonts w:hint="default" w:ascii="Times New Roman" w:hAnsi="Times New Roman" w:cs="Times New Roman"/>
                <w:sz w:val="24"/>
                <w:szCs w:val="24"/>
              </w:rPr>
            </w:pPr>
          </w:p>
        </w:tc>
      </w:tr>
      <w:tr w14:paraId="06F50C3B">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41" w:hRule="atLeast"/>
        </w:trPr>
        <w:tc>
          <w:tcPr>
            <w:tcW w:w="817" w:type="dxa"/>
            <w:noWrap w:val="0"/>
            <w:vAlign w:val="center"/>
          </w:tcPr>
          <w:p w14:paraId="790378A6">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3</w:t>
            </w:r>
          </w:p>
        </w:tc>
        <w:tc>
          <w:tcPr>
            <w:tcW w:w="1985" w:type="dxa"/>
            <w:noWrap w:val="0"/>
            <w:vAlign w:val="top"/>
          </w:tcPr>
          <w:p w14:paraId="355FD4EE">
            <w:pPr>
              <w:spacing w:before="145"/>
              <w:jc w:val="center"/>
              <w:rPr>
                <w:rStyle w:val="268"/>
                <w:rFonts w:hint="default" w:ascii="Times New Roman" w:hAnsi="Times New Roman" w:cs="Times New Roman"/>
                <w:sz w:val="24"/>
              </w:rPr>
            </w:pPr>
          </w:p>
        </w:tc>
        <w:tc>
          <w:tcPr>
            <w:tcW w:w="2526" w:type="dxa"/>
            <w:noWrap w:val="0"/>
            <w:vAlign w:val="center"/>
          </w:tcPr>
          <w:p w14:paraId="0CA3AFD6">
            <w:pPr>
              <w:spacing w:before="145"/>
              <w:rPr>
                <w:rFonts w:hint="default" w:ascii="Times New Roman" w:hAnsi="Times New Roman" w:cs="Times New Roman"/>
                <w:sz w:val="24"/>
                <w:szCs w:val="24"/>
              </w:rPr>
            </w:pPr>
          </w:p>
        </w:tc>
        <w:tc>
          <w:tcPr>
            <w:tcW w:w="1260" w:type="dxa"/>
            <w:noWrap w:val="0"/>
            <w:vAlign w:val="center"/>
          </w:tcPr>
          <w:p w14:paraId="25E2733A">
            <w:pPr>
              <w:spacing w:before="145"/>
              <w:rPr>
                <w:rFonts w:hint="default" w:ascii="Times New Roman" w:hAnsi="Times New Roman" w:cs="Times New Roman"/>
                <w:sz w:val="24"/>
                <w:szCs w:val="24"/>
              </w:rPr>
            </w:pPr>
          </w:p>
        </w:tc>
        <w:tc>
          <w:tcPr>
            <w:tcW w:w="1884" w:type="dxa"/>
            <w:noWrap w:val="0"/>
            <w:vAlign w:val="center"/>
          </w:tcPr>
          <w:p w14:paraId="5EC0663B">
            <w:pPr>
              <w:spacing w:before="145"/>
              <w:rPr>
                <w:rFonts w:hint="default" w:ascii="Times New Roman" w:hAnsi="Times New Roman" w:cs="Times New Roman"/>
                <w:sz w:val="24"/>
                <w:szCs w:val="24"/>
              </w:rPr>
            </w:pPr>
          </w:p>
        </w:tc>
      </w:tr>
      <w:tr w14:paraId="53894C05">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41" w:hRule="atLeast"/>
        </w:trPr>
        <w:tc>
          <w:tcPr>
            <w:tcW w:w="817" w:type="dxa"/>
            <w:noWrap w:val="0"/>
            <w:vAlign w:val="center"/>
          </w:tcPr>
          <w:p w14:paraId="504C5359">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4</w:t>
            </w:r>
          </w:p>
        </w:tc>
        <w:tc>
          <w:tcPr>
            <w:tcW w:w="1985" w:type="dxa"/>
            <w:noWrap w:val="0"/>
            <w:vAlign w:val="top"/>
          </w:tcPr>
          <w:p w14:paraId="45A23607">
            <w:pPr>
              <w:spacing w:before="145"/>
              <w:jc w:val="center"/>
              <w:rPr>
                <w:rStyle w:val="268"/>
                <w:rFonts w:hint="default" w:ascii="Times New Roman" w:hAnsi="Times New Roman" w:eastAsia="仿宋_GB2312" w:cs="Times New Roman"/>
                <w:sz w:val="24"/>
              </w:rPr>
            </w:pPr>
          </w:p>
        </w:tc>
        <w:tc>
          <w:tcPr>
            <w:tcW w:w="2526" w:type="dxa"/>
            <w:noWrap w:val="0"/>
            <w:vAlign w:val="center"/>
          </w:tcPr>
          <w:p w14:paraId="5595221C">
            <w:pPr>
              <w:spacing w:before="145"/>
              <w:rPr>
                <w:rFonts w:hint="default" w:ascii="Times New Roman" w:hAnsi="Times New Roman" w:cs="Times New Roman"/>
                <w:sz w:val="24"/>
                <w:szCs w:val="24"/>
              </w:rPr>
            </w:pPr>
          </w:p>
        </w:tc>
        <w:tc>
          <w:tcPr>
            <w:tcW w:w="1260" w:type="dxa"/>
            <w:noWrap w:val="0"/>
            <w:vAlign w:val="center"/>
          </w:tcPr>
          <w:p w14:paraId="0BB62B1A">
            <w:pPr>
              <w:spacing w:before="145"/>
              <w:rPr>
                <w:rFonts w:hint="default" w:ascii="Times New Roman" w:hAnsi="Times New Roman" w:cs="Times New Roman"/>
                <w:sz w:val="24"/>
                <w:szCs w:val="24"/>
              </w:rPr>
            </w:pPr>
          </w:p>
        </w:tc>
        <w:tc>
          <w:tcPr>
            <w:tcW w:w="1884" w:type="dxa"/>
            <w:noWrap w:val="0"/>
            <w:vAlign w:val="center"/>
          </w:tcPr>
          <w:p w14:paraId="379F1774">
            <w:pPr>
              <w:spacing w:before="145"/>
              <w:rPr>
                <w:rFonts w:hint="default" w:ascii="Times New Roman" w:hAnsi="Times New Roman" w:cs="Times New Roman"/>
                <w:sz w:val="24"/>
                <w:szCs w:val="24"/>
              </w:rPr>
            </w:pPr>
          </w:p>
        </w:tc>
      </w:tr>
      <w:tr w14:paraId="70B8CDA4">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61" w:hRule="atLeast"/>
        </w:trPr>
        <w:tc>
          <w:tcPr>
            <w:tcW w:w="817" w:type="dxa"/>
            <w:noWrap w:val="0"/>
            <w:vAlign w:val="center"/>
          </w:tcPr>
          <w:p w14:paraId="2AD0F142">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5</w:t>
            </w:r>
          </w:p>
        </w:tc>
        <w:tc>
          <w:tcPr>
            <w:tcW w:w="1985" w:type="dxa"/>
            <w:noWrap w:val="0"/>
            <w:vAlign w:val="top"/>
          </w:tcPr>
          <w:p w14:paraId="28D59998">
            <w:pPr>
              <w:spacing w:before="145"/>
              <w:jc w:val="center"/>
              <w:rPr>
                <w:rStyle w:val="268"/>
                <w:rFonts w:hint="default" w:ascii="Times New Roman" w:hAnsi="Times New Roman" w:cs="Times New Roman"/>
                <w:sz w:val="24"/>
              </w:rPr>
            </w:pPr>
          </w:p>
        </w:tc>
        <w:tc>
          <w:tcPr>
            <w:tcW w:w="2526" w:type="dxa"/>
            <w:noWrap w:val="0"/>
            <w:vAlign w:val="center"/>
          </w:tcPr>
          <w:p w14:paraId="596F7A84">
            <w:pPr>
              <w:spacing w:before="145"/>
              <w:rPr>
                <w:rFonts w:hint="default" w:ascii="Times New Roman" w:hAnsi="Times New Roman" w:cs="Times New Roman"/>
                <w:sz w:val="24"/>
                <w:szCs w:val="24"/>
              </w:rPr>
            </w:pPr>
          </w:p>
        </w:tc>
        <w:tc>
          <w:tcPr>
            <w:tcW w:w="1260" w:type="dxa"/>
            <w:noWrap w:val="0"/>
            <w:vAlign w:val="center"/>
          </w:tcPr>
          <w:p w14:paraId="18FA0C61">
            <w:pPr>
              <w:spacing w:before="145"/>
              <w:rPr>
                <w:rFonts w:hint="default" w:ascii="Times New Roman" w:hAnsi="Times New Roman" w:cs="Times New Roman"/>
                <w:sz w:val="24"/>
                <w:szCs w:val="24"/>
              </w:rPr>
            </w:pPr>
          </w:p>
        </w:tc>
        <w:tc>
          <w:tcPr>
            <w:tcW w:w="1884" w:type="dxa"/>
            <w:noWrap w:val="0"/>
            <w:vAlign w:val="center"/>
          </w:tcPr>
          <w:p w14:paraId="112A1F66">
            <w:pPr>
              <w:spacing w:before="145"/>
              <w:rPr>
                <w:rFonts w:hint="default" w:ascii="Times New Roman" w:hAnsi="Times New Roman" w:cs="Times New Roman"/>
                <w:sz w:val="24"/>
                <w:szCs w:val="24"/>
              </w:rPr>
            </w:pPr>
          </w:p>
        </w:tc>
      </w:tr>
      <w:tr w14:paraId="60A28E9B">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76" w:hRule="atLeast"/>
        </w:trPr>
        <w:tc>
          <w:tcPr>
            <w:tcW w:w="817" w:type="dxa"/>
            <w:noWrap w:val="0"/>
            <w:vAlign w:val="center"/>
          </w:tcPr>
          <w:p w14:paraId="5410B593">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6</w:t>
            </w:r>
          </w:p>
        </w:tc>
        <w:tc>
          <w:tcPr>
            <w:tcW w:w="1985" w:type="dxa"/>
            <w:noWrap w:val="0"/>
            <w:vAlign w:val="top"/>
          </w:tcPr>
          <w:p w14:paraId="5F6CCFA8">
            <w:pPr>
              <w:spacing w:before="145"/>
              <w:jc w:val="center"/>
              <w:rPr>
                <w:rStyle w:val="268"/>
                <w:rFonts w:hint="default" w:ascii="Times New Roman" w:hAnsi="Times New Roman" w:cs="Times New Roman"/>
                <w:sz w:val="24"/>
              </w:rPr>
            </w:pPr>
          </w:p>
        </w:tc>
        <w:tc>
          <w:tcPr>
            <w:tcW w:w="2526" w:type="dxa"/>
            <w:noWrap w:val="0"/>
            <w:vAlign w:val="center"/>
          </w:tcPr>
          <w:p w14:paraId="21B2F86B">
            <w:pPr>
              <w:spacing w:before="145"/>
              <w:rPr>
                <w:rFonts w:hint="default" w:ascii="Times New Roman" w:hAnsi="Times New Roman" w:cs="Times New Roman"/>
                <w:sz w:val="24"/>
                <w:szCs w:val="24"/>
              </w:rPr>
            </w:pPr>
          </w:p>
        </w:tc>
        <w:tc>
          <w:tcPr>
            <w:tcW w:w="1260" w:type="dxa"/>
            <w:noWrap w:val="0"/>
            <w:vAlign w:val="center"/>
          </w:tcPr>
          <w:p w14:paraId="26A03456">
            <w:pPr>
              <w:spacing w:before="145"/>
              <w:rPr>
                <w:rFonts w:hint="default" w:ascii="Times New Roman" w:hAnsi="Times New Roman" w:cs="Times New Roman"/>
                <w:sz w:val="24"/>
                <w:szCs w:val="24"/>
              </w:rPr>
            </w:pPr>
          </w:p>
        </w:tc>
        <w:tc>
          <w:tcPr>
            <w:tcW w:w="1884" w:type="dxa"/>
            <w:noWrap w:val="0"/>
            <w:vAlign w:val="center"/>
          </w:tcPr>
          <w:p w14:paraId="45715F13">
            <w:pPr>
              <w:spacing w:before="145"/>
              <w:rPr>
                <w:rFonts w:hint="default" w:ascii="Times New Roman" w:hAnsi="Times New Roman" w:cs="Times New Roman"/>
                <w:sz w:val="24"/>
                <w:szCs w:val="24"/>
              </w:rPr>
            </w:pPr>
          </w:p>
        </w:tc>
      </w:tr>
      <w:tr w14:paraId="174E2560">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01" w:hRule="atLeast"/>
        </w:trPr>
        <w:tc>
          <w:tcPr>
            <w:tcW w:w="817" w:type="dxa"/>
            <w:noWrap w:val="0"/>
            <w:vAlign w:val="center"/>
          </w:tcPr>
          <w:p w14:paraId="3F6B226C">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1985" w:type="dxa"/>
            <w:noWrap w:val="0"/>
            <w:vAlign w:val="top"/>
          </w:tcPr>
          <w:p w14:paraId="2FF79DC7">
            <w:pPr>
              <w:spacing w:before="145"/>
              <w:jc w:val="center"/>
              <w:rPr>
                <w:rStyle w:val="268"/>
                <w:rFonts w:hint="default" w:ascii="Times New Roman" w:hAnsi="Times New Roman" w:eastAsia="仿宋_GB2312" w:cs="Times New Roman"/>
                <w:sz w:val="24"/>
              </w:rPr>
            </w:pPr>
          </w:p>
        </w:tc>
        <w:tc>
          <w:tcPr>
            <w:tcW w:w="2526" w:type="dxa"/>
            <w:noWrap w:val="0"/>
            <w:vAlign w:val="center"/>
          </w:tcPr>
          <w:p w14:paraId="1BE4FC3B">
            <w:pPr>
              <w:spacing w:before="145"/>
              <w:rPr>
                <w:rFonts w:hint="default" w:ascii="Times New Roman" w:hAnsi="Times New Roman" w:cs="Times New Roman"/>
                <w:sz w:val="24"/>
              </w:rPr>
            </w:pPr>
          </w:p>
        </w:tc>
        <w:tc>
          <w:tcPr>
            <w:tcW w:w="1260" w:type="dxa"/>
            <w:noWrap w:val="0"/>
            <w:vAlign w:val="center"/>
          </w:tcPr>
          <w:p w14:paraId="75831E8D">
            <w:pPr>
              <w:spacing w:before="145"/>
              <w:rPr>
                <w:rFonts w:hint="default" w:ascii="Times New Roman" w:hAnsi="Times New Roman" w:cs="Times New Roman"/>
                <w:sz w:val="24"/>
              </w:rPr>
            </w:pPr>
          </w:p>
        </w:tc>
        <w:tc>
          <w:tcPr>
            <w:tcW w:w="1884" w:type="dxa"/>
            <w:noWrap w:val="0"/>
            <w:vAlign w:val="center"/>
          </w:tcPr>
          <w:p w14:paraId="32D84C37">
            <w:pPr>
              <w:spacing w:before="145"/>
              <w:rPr>
                <w:rFonts w:hint="default" w:ascii="Times New Roman" w:hAnsi="Times New Roman" w:cs="Times New Roman"/>
                <w:sz w:val="24"/>
              </w:rPr>
            </w:pPr>
          </w:p>
        </w:tc>
      </w:tr>
    </w:tbl>
    <w:p w14:paraId="60CF41BC">
      <w:pPr>
        <w:spacing w:before="145"/>
        <w:rPr>
          <w:rFonts w:hint="default" w:ascii="Times New Roman" w:hAnsi="Times New Roman" w:cs="Times New Roman"/>
          <w:sz w:val="24"/>
          <w:szCs w:val="24"/>
        </w:rPr>
      </w:pPr>
      <w:r>
        <w:rPr>
          <w:rFonts w:hint="default" w:ascii="Times New Roman" w:hAnsi="Times New Roman" w:cs="Times New Roman"/>
          <w:sz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0678FA88">
      <w:pPr>
        <w:pStyle w:val="189"/>
        <w:spacing w:line="500" w:lineRule="exact"/>
        <w:ind w:left="15" w:hanging="120"/>
        <w:rPr>
          <w:rFonts w:hint="default" w:ascii="Times New Roman" w:hAnsi="Times New Roman" w:cs="Times New Roman"/>
          <w:sz w:val="24"/>
          <w:szCs w:val="24"/>
        </w:rPr>
      </w:pPr>
    </w:p>
    <w:p w14:paraId="319349B9">
      <w:pPr>
        <w:pStyle w:val="189"/>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450FCB6A">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0CC570F5">
      <w:pPr>
        <w:rPr>
          <w:rFonts w:hint="default" w:ascii="Times New Roman" w:hAnsi="Times New Roman" w:eastAsia="仿宋_GB2312" w:cs="Times New Roman"/>
          <w:sz w:val="24"/>
        </w:rPr>
      </w:pPr>
    </w:p>
    <w:p w14:paraId="772DE5D8">
      <w:pPr>
        <w:rPr>
          <w:rFonts w:hint="default" w:ascii="Times New Roman" w:hAnsi="Times New Roman" w:cs="Times New Roman"/>
          <w:sz w:val="24"/>
        </w:rPr>
      </w:pPr>
      <w:r>
        <w:rPr>
          <w:rFonts w:hint="default" w:ascii="Times New Roman" w:hAnsi="Times New Roman" w:cs="Times New Roman"/>
          <w:sz w:val="24"/>
        </w:rPr>
        <w:t>填写说明：</w:t>
      </w:r>
    </w:p>
    <w:p w14:paraId="28E91FB1">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1、供应商须根据第四章《项目需求》要求填写此表，作为投标文件的组成部分。</w:t>
      </w:r>
    </w:p>
    <w:p w14:paraId="629578D4">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2、所有偏离必须在本表中列出，未在本偏离表中列出偏离，将视为供应商已完全接受招标文件要求。</w:t>
      </w:r>
    </w:p>
    <w:p w14:paraId="0B22730B">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3、偏离包括正、负偏离，正偏离指供应商的响应高于招标文件要求，负偏离指供应商的响应低于招标文件要求。</w:t>
      </w:r>
    </w:p>
    <w:p w14:paraId="3BF24542">
      <w:pPr>
        <w:widowControl/>
        <w:jc w:val="left"/>
        <w:rPr>
          <w:rFonts w:hint="default" w:ascii="Times New Roman" w:hAnsi="Times New Roman" w:cs="Times New Roman"/>
          <w:b/>
          <w:sz w:val="32"/>
          <w:szCs w:val="24"/>
        </w:rPr>
      </w:pPr>
      <w:r>
        <w:rPr>
          <w:rFonts w:hint="default" w:ascii="Times New Roman" w:hAnsi="Times New Roman" w:cs="Times New Roman"/>
          <w:b/>
          <w:sz w:val="32"/>
          <w:szCs w:val="24"/>
        </w:rPr>
        <w:br w:type="page" w:clear="all"/>
      </w:r>
    </w:p>
    <w:p w14:paraId="5AA06720">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t>1</w:t>
      </w:r>
      <w:r>
        <w:rPr>
          <w:rFonts w:hint="default" w:ascii="Times New Roman" w:hAnsi="Times New Roman" w:cs="Times New Roman"/>
          <w:lang w:val="en-US" w:eastAsia="zh-CN"/>
        </w:rPr>
        <w:t>1</w:t>
      </w:r>
      <w:r>
        <w:rPr>
          <w:rFonts w:hint="default" w:ascii="Times New Roman" w:hAnsi="Times New Roman" w:cs="Times New Roman"/>
        </w:rPr>
        <w:t>．项目实施方案</w:t>
      </w:r>
    </w:p>
    <w:p w14:paraId="31D282B1">
      <w:pPr>
        <w:jc w:val="center"/>
        <w:rPr>
          <w:rFonts w:hint="default" w:ascii="Times New Roman" w:hAnsi="Times New Roman" w:cs="Times New Roman"/>
          <w:b/>
          <w:sz w:val="32"/>
          <w:szCs w:val="24"/>
        </w:rPr>
      </w:pPr>
    </w:p>
    <w:p w14:paraId="02D07865">
      <w:pPr>
        <w:spacing w:line="440" w:lineRule="exact"/>
        <w:jc w:val="center"/>
        <w:rPr>
          <w:rFonts w:hint="default" w:ascii="Times New Roman" w:hAnsi="Times New Roman" w:cs="Times New Roman"/>
          <w:bCs/>
          <w:sz w:val="32"/>
          <w:szCs w:val="32"/>
        </w:rPr>
      </w:pPr>
      <w:r>
        <w:rPr>
          <w:rFonts w:hint="default" w:ascii="Times New Roman" w:hAnsi="Times New Roman" w:cs="Times New Roman"/>
          <w:bCs/>
          <w:sz w:val="32"/>
          <w:szCs w:val="32"/>
        </w:rPr>
        <w:t>（格式自定）</w:t>
      </w:r>
    </w:p>
    <w:p w14:paraId="7F37CC26">
      <w:pPr>
        <w:spacing w:line="360" w:lineRule="auto"/>
        <w:ind w:firstLine="420"/>
        <w:rPr>
          <w:rFonts w:hint="default" w:ascii="Times New Roman" w:hAnsi="Times New Roman" w:cs="Times New Roman"/>
        </w:rPr>
      </w:pPr>
    </w:p>
    <w:p w14:paraId="5AE282FB">
      <w:pPr>
        <w:pStyle w:val="189"/>
        <w:spacing w:line="500" w:lineRule="exact"/>
        <w:ind w:left="15" w:hanging="120"/>
        <w:rPr>
          <w:rFonts w:hint="default" w:ascii="Times New Roman" w:hAnsi="Times New Roman" w:cs="Times New Roman"/>
          <w:sz w:val="24"/>
          <w:szCs w:val="24"/>
        </w:rPr>
      </w:pPr>
    </w:p>
    <w:p w14:paraId="47851FF6">
      <w:pPr>
        <w:pStyle w:val="189"/>
        <w:spacing w:line="500" w:lineRule="exact"/>
        <w:ind w:left="15" w:hanging="120"/>
        <w:rPr>
          <w:rFonts w:hint="default" w:ascii="Times New Roman" w:hAnsi="Times New Roman" w:cs="Times New Roman"/>
          <w:sz w:val="24"/>
          <w:szCs w:val="24"/>
        </w:rPr>
      </w:pPr>
    </w:p>
    <w:p w14:paraId="20C21F8A">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t>1</w:t>
      </w:r>
      <w:r>
        <w:rPr>
          <w:rFonts w:hint="default" w:ascii="Times New Roman" w:hAnsi="Times New Roman" w:cs="Times New Roman"/>
          <w:lang w:val="en-US" w:eastAsia="zh-CN"/>
        </w:rPr>
        <w:t>2</w:t>
      </w:r>
      <w:r>
        <w:rPr>
          <w:rFonts w:hint="default" w:ascii="Times New Roman" w:hAnsi="Times New Roman" w:cs="Times New Roman"/>
        </w:rPr>
        <w:t>．技术及售后服务承诺</w:t>
      </w:r>
    </w:p>
    <w:p w14:paraId="20C7616A">
      <w:pPr>
        <w:pStyle w:val="189"/>
        <w:spacing w:line="500" w:lineRule="exact"/>
        <w:ind w:left="56" w:hanging="161"/>
        <w:rPr>
          <w:rFonts w:hint="default" w:ascii="Times New Roman" w:hAnsi="Times New Roman" w:cs="Times New Roman"/>
          <w:b/>
          <w:sz w:val="32"/>
          <w:szCs w:val="24"/>
        </w:rPr>
      </w:pPr>
    </w:p>
    <w:p w14:paraId="5B5BFFF7">
      <w:pPr>
        <w:pStyle w:val="189"/>
        <w:spacing w:line="500" w:lineRule="exact"/>
        <w:ind w:left="56" w:hanging="161"/>
        <w:rPr>
          <w:rFonts w:hint="default" w:ascii="Times New Roman" w:hAnsi="Times New Roman" w:cs="Times New Roman"/>
          <w:b/>
          <w:sz w:val="32"/>
          <w:szCs w:val="24"/>
        </w:rPr>
      </w:pPr>
    </w:p>
    <w:p w14:paraId="25E3B61E">
      <w:pPr>
        <w:spacing w:line="440" w:lineRule="exact"/>
        <w:jc w:val="center"/>
        <w:rPr>
          <w:rFonts w:hint="default" w:ascii="Times New Roman" w:hAnsi="Times New Roman" w:cs="Times New Roman"/>
          <w:bCs/>
          <w:sz w:val="32"/>
          <w:szCs w:val="32"/>
        </w:rPr>
      </w:pPr>
      <w:r>
        <w:rPr>
          <w:rFonts w:hint="default" w:ascii="Times New Roman" w:hAnsi="Times New Roman" w:cs="Times New Roman"/>
          <w:bCs/>
          <w:sz w:val="32"/>
          <w:szCs w:val="32"/>
        </w:rPr>
        <w:t>（格式自定）</w:t>
      </w:r>
    </w:p>
    <w:p w14:paraId="681A1B67">
      <w:pPr>
        <w:pStyle w:val="189"/>
        <w:spacing w:line="500" w:lineRule="exact"/>
        <w:ind w:left="56" w:hanging="161"/>
        <w:rPr>
          <w:rFonts w:hint="default" w:ascii="Times New Roman" w:hAnsi="Times New Roman" w:cs="Times New Roman"/>
          <w:b/>
          <w:sz w:val="32"/>
          <w:szCs w:val="24"/>
        </w:rPr>
      </w:pPr>
    </w:p>
    <w:p w14:paraId="7969C906">
      <w:pPr>
        <w:pStyle w:val="189"/>
        <w:spacing w:line="500" w:lineRule="exact"/>
        <w:ind w:left="56" w:hanging="161"/>
        <w:rPr>
          <w:rFonts w:hint="default" w:ascii="Times New Roman" w:hAnsi="Times New Roman" w:cs="Times New Roman"/>
          <w:b/>
          <w:sz w:val="32"/>
          <w:szCs w:val="24"/>
        </w:rPr>
      </w:pPr>
    </w:p>
    <w:p w14:paraId="6144126C">
      <w:pPr>
        <w:pStyle w:val="189"/>
        <w:spacing w:line="500" w:lineRule="exact"/>
        <w:ind w:left="56" w:hanging="161"/>
        <w:rPr>
          <w:rFonts w:hint="default" w:ascii="Times New Roman" w:hAnsi="Times New Roman" w:cs="Times New Roman"/>
          <w:b/>
          <w:sz w:val="32"/>
          <w:szCs w:val="24"/>
        </w:rPr>
      </w:pPr>
    </w:p>
    <w:p w14:paraId="3567FC82">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rPr>
        <w:t>1</w:t>
      </w:r>
      <w:r>
        <w:rPr>
          <w:rFonts w:hint="default" w:ascii="Times New Roman" w:hAnsi="Times New Roman" w:cs="Times New Roman"/>
          <w:lang w:val="en-US" w:eastAsia="zh-CN"/>
        </w:rPr>
        <w:t>3</w:t>
      </w:r>
      <w:r>
        <w:rPr>
          <w:rFonts w:hint="default" w:ascii="Times New Roman" w:hAnsi="Times New Roman" w:cs="Times New Roman"/>
        </w:rPr>
        <w:t>．相关证明文件及材料</w:t>
      </w:r>
    </w:p>
    <w:p w14:paraId="02E28B0B">
      <w:pPr>
        <w:rPr>
          <w:rFonts w:hint="default" w:ascii="Times New Roman" w:hAnsi="Times New Roman" w:cs="Times New Roman"/>
          <w:sz w:val="24"/>
        </w:rPr>
      </w:pPr>
      <w:r>
        <w:rPr>
          <w:rFonts w:hint="default" w:ascii="Times New Roman" w:hAnsi="Times New Roman" w:cs="Times New Roman"/>
          <w:sz w:val="24"/>
        </w:rPr>
        <w:t>1、资格审查的证明材料</w:t>
      </w:r>
    </w:p>
    <w:p w14:paraId="22154848">
      <w:pPr>
        <w:rPr>
          <w:rFonts w:hint="default" w:ascii="Times New Roman" w:hAnsi="Times New Roman" w:cs="Times New Roman"/>
          <w:sz w:val="24"/>
        </w:rPr>
      </w:pPr>
      <w:r>
        <w:rPr>
          <w:rFonts w:hint="default" w:ascii="Times New Roman" w:hAnsi="Times New Roman" w:cs="Times New Roman"/>
          <w:sz w:val="24"/>
        </w:rPr>
        <w:t>2、招标文件要求的相关证明材料（如有）</w:t>
      </w:r>
    </w:p>
    <w:p w14:paraId="76220E89">
      <w:pPr>
        <w:rPr>
          <w:rFonts w:hint="default" w:ascii="Times New Roman" w:hAnsi="Times New Roman" w:cs="Times New Roman"/>
          <w:sz w:val="24"/>
        </w:rPr>
      </w:pPr>
      <w:r>
        <w:rPr>
          <w:rFonts w:hint="default" w:ascii="Times New Roman" w:hAnsi="Times New Roman" w:cs="Times New Roman"/>
          <w:sz w:val="24"/>
        </w:rPr>
        <w:t>3、供应商认为有必要的项目证明材料（如有）</w:t>
      </w:r>
    </w:p>
    <w:p w14:paraId="375AC386">
      <w:pPr>
        <w:pStyle w:val="270"/>
        <w:spacing w:after="145" w:line="360" w:lineRule="auto"/>
        <w:ind w:left="0" w:firstLine="0"/>
        <w:rPr>
          <w:rFonts w:hint="default" w:ascii="Times New Roman" w:hAnsi="Times New Roman" w:eastAsia="宋体" w:cs="Times New Roman"/>
          <w:lang w:eastAsia="zh-CN"/>
        </w:rPr>
      </w:pPr>
      <w:r>
        <w:rPr>
          <w:rFonts w:hint="default" w:ascii="Times New Roman" w:hAnsi="Times New Roman" w:cs="Times New Roman"/>
          <w:b w:val="0"/>
          <w:bCs/>
          <w:sz w:val="32"/>
          <w:szCs w:val="32"/>
        </w:rPr>
        <w:br w:type="page" w:clear="all"/>
      </w:r>
      <w:bookmarkEnd w:id="201"/>
      <w:bookmarkEnd w:id="202"/>
      <w:bookmarkEnd w:id="203"/>
      <w:bookmarkEnd w:id="204"/>
      <w:bookmarkStart w:id="209" w:name="_Toc511385438"/>
      <w:bookmarkStart w:id="210" w:name="_Toc511899530"/>
      <w:bookmarkStart w:id="211" w:name="_Toc511305223"/>
      <w:r>
        <w:rPr>
          <w:rFonts w:hint="default" w:ascii="Times New Roman" w:hAnsi="Times New Roman" w:eastAsia="宋体" w:cs="Times New Roman"/>
        </w:rPr>
        <w:t>附件</w:t>
      </w:r>
      <w:bookmarkEnd w:id="209"/>
      <w:bookmarkEnd w:id="210"/>
      <w:bookmarkEnd w:id="211"/>
    </w:p>
    <w:p w14:paraId="7C1320B4">
      <w:pPr>
        <w:pStyle w:val="187"/>
        <w:spacing w:line="560" w:lineRule="exact"/>
        <w:rPr>
          <w:rFonts w:hint="default" w:ascii="Times New Roman" w:hAnsi="Times New Roman" w:eastAsia="黑体" w:cs="Times New Roman"/>
          <w:bCs/>
          <w:sz w:val="44"/>
        </w:rPr>
      </w:pPr>
      <w:bookmarkStart w:id="212" w:name="_Toc121905582"/>
      <w:bookmarkStart w:id="213" w:name="_Toc511305224"/>
      <w:bookmarkStart w:id="214" w:name="_Toc511385439"/>
      <w:bookmarkStart w:id="215" w:name="_Toc511899531"/>
      <w:r>
        <w:rPr>
          <w:rFonts w:hint="default" w:ascii="Times New Roman" w:hAnsi="Times New Roman" w:eastAsia="黑体" w:cs="Times New Roman"/>
          <w:bCs/>
          <w:sz w:val="44"/>
        </w:rPr>
        <w:t>质疑函范本</w:t>
      </w:r>
      <w:bookmarkEnd w:id="212"/>
      <w:bookmarkEnd w:id="213"/>
      <w:bookmarkEnd w:id="214"/>
      <w:bookmarkEnd w:id="215"/>
    </w:p>
    <w:p w14:paraId="43A1EE10">
      <w:pPr>
        <w:spacing w:before="290"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一、质疑供应商基本信息</w:t>
      </w:r>
    </w:p>
    <w:p w14:paraId="4638B823">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质疑供应商：</w:t>
      </w:r>
      <w:r>
        <w:rPr>
          <w:rFonts w:hint="default" w:ascii="Times New Roman" w:hAnsi="Times New Roman" w:eastAsia="仿宋" w:cs="Times New Roman"/>
          <w:sz w:val="28"/>
          <w:szCs w:val="32"/>
          <w:u w:val="single"/>
        </w:rPr>
        <w:t xml:space="preserve">                                        </w:t>
      </w:r>
    </w:p>
    <w:p w14:paraId="1294D09F">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地址：</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邮编：</w:t>
      </w:r>
      <w:r>
        <w:rPr>
          <w:rFonts w:hint="default" w:ascii="Times New Roman" w:hAnsi="Times New Roman" w:eastAsia="仿宋" w:cs="Times New Roman"/>
          <w:sz w:val="28"/>
          <w:szCs w:val="32"/>
          <w:u w:val="single"/>
        </w:rPr>
        <w:t xml:space="preserve">                                                   </w:t>
      </w:r>
    </w:p>
    <w:p w14:paraId="637A3949">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联系人：</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联系电话：</w:t>
      </w:r>
      <w:r>
        <w:rPr>
          <w:rFonts w:hint="default" w:ascii="Times New Roman" w:hAnsi="Times New Roman" w:eastAsia="仿宋" w:cs="Times New Roman"/>
          <w:sz w:val="28"/>
          <w:szCs w:val="32"/>
          <w:u w:val="single"/>
        </w:rPr>
        <w:t xml:space="preserve">                              </w:t>
      </w:r>
    </w:p>
    <w:p w14:paraId="19DFC5C5">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授权代表：</w:t>
      </w:r>
      <w:r>
        <w:rPr>
          <w:rFonts w:hint="default" w:ascii="Times New Roman" w:hAnsi="Times New Roman" w:eastAsia="仿宋" w:cs="Times New Roman"/>
          <w:sz w:val="28"/>
          <w:szCs w:val="32"/>
          <w:u w:val="single"/>
        </w:rPr>
        <w:t xml:space="preserve">                                          </w:t>
      </w:r>
    </w:p>
    <w:p w14:paraId="39DACBD3">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联系电话：</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 xml:space="preserve"> </w:t>
      </w:r>
    </w:p>
    <w:p w14:paraId="2D867AEC">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 xml:space="preserve">地址： </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邮编：</w:t>
      </w:r>
      <w:r>
        <w:rPr>
          <w:rFonts w:hint="default" w:ascii="Times New Roman" w:hAnsi="Times New Roman" w:eastAsia="仿宋" w:cs="Times New Roman"/>
          <w:sz w:val="28"/>
          <w:szCs w:val="32"/>
          <w:u w:val="single"/>
        </w:rPr>
        <w:t xml:space="preserve">                                                </w:t>
      </w:r>
    </w:p>
    <w:p w14:paraId="7E4CCEFD">
      <w:pPr>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二、质疑项目基本情况</w:t>
      </w:r>
    </w:p>
    <w:p w14:paraId="49DA9A4E">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质疑项目的名称：</w:t>
      </w:r>
      <w:r>
        <w:rPr>
          <w:rFonts w:hint="default" w:ascii="Times New Roman" w:hAnsi="Times New Roman" w:eastAsia="仿宋" w:cs="Times New Roman"/>
          <w:sz w:val="28"/>
          <w:szCs w:val="32"/>
          <w:u w:val="single"/>
        </w:rPr>
        <w:t xml:space="preserve">                                      </w:t>
      </w:r>
    </w:p>
    <w:p w14:paraId="690E42DE">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质疑项目的编号：</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包号：</w:t>
      </w:r>
      <w:r>
        <w:rPr>
          <w:rFonts w:hint="default" w:ascii="Times New Roman" w:hAnsi="Times New Roman" w:eastAsia="仿宋" w:cs="Times New Roman"/>
          <w:sz w:val="28"/>
          <w:szCs w:val="32"/>
          <w:u w:val="single"/>
        </w:rPr>
        <w:t xml:space="preserve">                 </w:t>
      </w:r>
    </w:p>
    <w:p w14:paraId="2E8F9585">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采购人名称：</w:t>
      </w:r>
      <w:r>
        <w:rPr>
          <w:rFonts w:hint="default" w:ascii="Times New Roman" w:hAnsi="Times New Roman" w:eastAsia="仿宋" w:cs="Times New Roman"/>
          <w:sz w:val="28"/>
          <w:szCs w:val="32"/>
          <w:u w:val="single"/>
        </w:rPr>
        <w:t xml:space="preserve">                                         </w:t>
      </w:r>
    </w:p>
    <w:p w14:paraId="7D5BD6B4">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采购文件获取日期：</w:t>
      </w:r>
      <w:r>
        <w:rPr>
          <w:rFonts w:hint="default" w:ascii="Times New Roman" w:hAnsi="Times New Roman" w:eastAsia="仿宋" w:cs="Times New Roman"/>
          <w:sz w:val="28"/>
          <w:szCs w:val="32"/>
          <w:u w:val="single"/>
        </w:rPr>
        <w:t xml:space="preserve">                                           </w:t>
      </w:r>
    </w:p>
    <w:p w14:paraId="677B7C6B">
      <w:pPr>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三、质疑事项具体内容</w:t>
      </w:r>
    </w:p>
    <w:p w14:paraId="2B293B4C">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质疑事项1：</w:t>
      </w:r>
      <w:r>
        <w:rPr>
          <w:rFonts w:hint="default" w:ascii="Times New Roman" w:hAnsi="Times New Roman" w:eastAsia="仿宋" w:cs="Times New Roman"/>
          <w:sz w:val="28"/>
          <w:szCs w:val="32"/>
          <w:u w:val="single"/>
        </w:rPr>
        <w:t xml:space="preserve">                                         </w:t>
      </w:r>
    </w:p>
    <w:p w14:paraId="401A0533">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事实依据：</w:t>
      </w:r>
      <w:r>
        <w:rPr>
          <w:rFonts w:hint="default" w:ascii="Times New Roman" w:hAnsi="Times New Roman" w:eastAsia="仿宋" w:cs="Times New Roman"/>
          <w:sz w:val="28"/>
          <w:szCs w:val="32"/>
          <w:u w:val="single"/>
        </w:rPr>
        <w:t xml:space="preserve">                                          </w:t>
      </w:r>
    </w:p>
    <w:p w14:paraId="6E7D5C50">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u w:val="single"/>
        </w:rPr>
        <w:t xml:space="preserve">                                                       </w:t>
      </w:r>
    </w:p>
    <w:p w14:paraId="23CC2D8E">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法律依据：</w:t>
      </w:r>
      <w:r>
        <w:rPr>
          <w:rFonts w:hint="default" w:ascii="Times New Roman" w:hAnsi="Times New Roman" w:eastAsia="仿宋" w:cs="Times New Roman"/>
          <w:sz w:val="28"/>
          <w:szCs w:val="32"/>
          <w:u w:val="single"/>
        </w:rPr>
        <w:t xml:space="preserve">                                          </w:t>
      </w:r>
    </w:p>
    <w:p w14:paraId="3E0B1094">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u w:val="single"/>
        </w:rPr>
        <w:t xml:space="preserve">                                                     </w:t>
      </w:r>
    </w:p>
    <w:p w14:paraId="1B108698">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质疑事项2</w:t>
      </w:r>
    </w:p>
    <w:p w14:paraId="0D85155A">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w:t>
      </w:r>
    </w:p>
    <w:p w14:paraId="2D0A5FF3">
      <w:pPr>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四、与质疑事项相关的质疑请求</w:t>
      </w:r>
    </w:p>
    <w:p w14:paraId="0B039DF3">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请求：</w:t>
      </w:r>
      <w:r>
        <w:rPr>
          <w:rFonts w:hint="default" w:ascii="Times New Roman" w:hAnsi="Times New Roman" w:eastAsia="仿宋" w:cs="Times New Roman"/>
          <w:sz w:val="28"/>
          <w:szCs w:val="32"/>
          <w:u w:val="single"/>
        </w:rPr>
        <w:t xml:space="preserve">                                               </w:t>
      </w:r>
    </w:p>
    <w:p w14:paraId="31BE1907">
      <w:pPr>
        <w:spacing w:line="510" w:lineRule="exact"/>
        <w:rPr>
          <w:rFonts w:hint="default" w:ascii="Times New Roman" w:hAnsi="Times New Roman" w:eastAsia="仿宋_GB2312" w:cs="Times New Roman"/>
          <w:sz w:val="28"/>
          <w:szCs w:val="30"/>
        </w:rPr>
      </w:pPr>
      <w:r>
        <w:rPr>
          <w:rFonts w:hint="default" w:ascii="Times New Roman" w:hAnsi="Times New Roman" w:eastAsia="仿宋_GB2312" w:cs="Times New Roman"/>
          <w:sz w:val="28"/>
          <w:szCs w:val="30"/>
        </w:rPr>
        <w:t xml:space="preserve">签字(签章)：                   公章：                      </w:t>
      </w:r>
    </w:p>
    <w:p w14:paraId="5F02EC61">
      <w:pPr>
        <w:spacing w:line="510" w:lineRule="exact"/>
        <w:rPr>
          <w:rFonts w:hint="default" w:ascii="Times New Roman" w:hAnsi="Times New Roman" w:eastAsia="仿宋_GB2312" w:cs="Times New Roman"/>
          <w:sz w:val="28"/>
          <w:szCs w:val="30"/>
        </w:rPr>
      </w:pPr>
      <w:r>
        <w:rPr>
          <w:rFonts w:hint="default" w:ascii="Times New Roman" w:hAnsi="Times New Roman" w:eastAsia="仿宋_GB2312" w:cs="Times New Roman"/>
          <w:sz w:val="28"/>
          <w:szCs w:val="30"/>
        </w:rPr>
        <w:t xml:space="preserve">日期：    </w:t>
      </w:r>
    </w:p>
    <w:p w14:paraId="02C9F667">
      <w:pPr>
        <w:rPr>
          <w:rFonts w:hint="default" w:ascii="Times New Roman" w:hAnsi="Times New Roman" w:eastAsia="黑体" w:cs="Times New Roman"/>
          <w:b/>
          <w:sz w:val="32"/>
          <w:szCs w:val="32"/>
        </w:rPr>
      </w:pPr>
      <w:r>
        <w:rPr>
          <w:rFonts w:hint="default" w:ascii="Times New Roman" w:hAnsi="Times New Roman" w:eastAsia="黑体" w:cs="Times New Roman"/>
          <w:b/>
          <w:sz w:val="32"/>
          <w:szCs w:val="32"/>
        </w:rPr>
        <w:t>质疑函制作说明：</w:t>
      </w:r>
    </w:p>
    <w:p w14:paraId="0A89D5A0">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1.供应商提出质疑时，应提交质疑函和必要的证明材料。</w:t>
      </w:r>
    </w:p>
    <w:p w14:paraId="75901135">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14:paraId="77F7B587">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3.质疑供应商若对项目的某一分包进行质疑，质疑函中应列明具体分包号。</w:t>
      </w:r>
    </w:p>
    <w:p w14:paraId="7AB56CA5">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4.质疑函的质疑事项应具体、明确，并有必要的事实依据和法律依据。</w:t>
      </w:r>
    </w:p>
    <w:p w14:paraId="2A66FEA3">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5.质疑函的质疑请求应与质疑事项相关。</w:t>
      </w:r>
    </w:p>
    <w:p w14:paraId="0E59D4E3">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6.质疑供应商为自然人的，质疑函应由本人签字；质疑供应商为法人或者其他组织的，质疑函应由法定代表人、主要负责人，或者其授权代表签字或者盖章，并加盖公章。</w:t>
      </w:r>
    </w:p>
    <w:p w14:paraId="26D47C0E">
      <w:pPr>
        <w:widowControl/>
        <w:ind w:firstLine="600"/>
        <w:jc w:val="left"/>
        <w:rPr>
          <w:rFonts w:hint="default" w:ascii="Times New Roman" w:hAnsi="Times New Roman" w:eastAsia="仿宋_GB2312" w:cs="Times New Roman"/>
          <w:sz w:val="30"/>
          <w:szCs w:val="30"/>
        </w:rPr>
      </w:pPr>
    </w:p>
    <w:p w14:paraId="31369C84">
      <w:pPr>
        <w:pStyle w:val="270"/>
        <w:spacing w:after="145" w:line="360" w:lineRule="auto"/>
        <w:ind w:left="0" w:firstLine="0"/>
        <w:rPr>
          <w:rFonts w:hint="default" w:ascii="Times New Roman" w:hAnsi="Times New Roman" w:eastAsia="宋体" w:cs="Times New Roman"/>
        </w:rPr>
      </w:pPr>
    </w:p>
    <w:p w14:paraId="248462C9">
      <w:pPr>
        <w:jc w:val="center"/>
        <w:rPr>
          <w:rFonts w:hint="default" w:ascii="Times New Roman" w:hAnsi="Times New Roman" w:cs="Times New Roman"/>
          <w:sz w:val="24"/>
          <w:szCs w:val="24"/>
        </w:rPr>
      </w:pPr>
    </w:p>
    <w:p w14:paraId="6649203B">
      <w:pPr>
        <w:pStyle w:val="270"/>
        <w:spacing w:after="145" w:line="360" w:lineRule="auto"/>
        <w:ind w:left="0" w:firstLine="0"/>
        <w:rPr>
          <w:rFonts w:hint="default" w:ascii="Times New Roman" w:hAnsi="Times New Roman" w:cs="Times New Roman"/>
        </w:rPr>
      </w:pPr>
    </w:p>
    <w:p w14:paraId="4826EAF5">
      <w:pPr>
        <w:pStyle w:val="270"/>
        <w:spacing w:after="145" w:line="360" w:lineRule="auto"/>
        <w:ind w:left="0" w:firstLine="0"/>
        <w:rPr>
          <w:rFonts w:hint="default" w:ascii="Times New Roman" w:hAnsi="Times New Roman" w:eastAsia="宋体" w:cs="Times New Roman"/>
          <w:sz w:val="24"/>
          <w:szCs w:val="24"/>
        </w:rPr>
      </w:pPr>
    </w:p>
    <w:sectPr>
      <w:footerReference r:id="rId3" w:type="default"/>
      <w:type w:val="continuous"/>
      <w:pgSz w:w="11906" w:h="16838"/>
      <w:pgMar w:top="1418" w:right="1588" w:bottom="1418" w:left="1366" w:header="851" w:footer="907" w:gutter="0"/>
      <w:pgBorders>
        <w:top w:val="none" w:sz="0" w:space="0"/>
        <w:left w:val="none" w:sz="0" w:space="0"/>
        <w:bottom w:val="none" w:sz="0" w:space="0"/>
        <w:right w:val="none" w:sz="0" w:space="0"/>
      </w:pgBorders>
      <w:cols w:space="1701" w:num="1"/>
      <w:titlePg/>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60101010101"/>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60101010101"/>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幼圆">
    <w:panose1 w:val="0201050906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黑体_GBK">
    <w:panose1 w:val="03000509000000000000"/>
    <w:charset w:val="86"/>
    <w:family w:val="auto"/>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 w:name="Arial Unicode MS">
    <w:panose1 w:val="020B0604020202020204"/>
    <w:charset w:val="86"/>
    <w:family w:val="auto"/>
    <w:pitch w:val="default"/>
    <w:sig w:usb0="FFFFFFFF" w:usb1="E9FFFFFF" w:usb2="0000003F" w:usb3="00000000" w:csb0="603F01FF" w:csb1="FFFF0000"/>
  </w:font>
  <w:font w:name="方正小标宋_GBK">
    <w:panose1 w:val="03000509000000000000"/>
    <w:charset w:val="86"/>
    <w:family w:val="auto"/>
    <w:pitch w:val="default"/>
    <w:sig w:usb0="00000001" w:usb1="080E0000" w:usb2="00000000" w:usb3="00000000" w:csb0="00040000" w:csb1="00000000"/>
  </w:font>
  <w:font w:name="Cambria">
    <w:panose1 w:val="02040503050406030204"/>
    <w:charset w:val="00"/>
    <w:family w:val="auto"/>
    <w:pitch w:val="default"/>
    <w:sig w:usb0="E00006FF" w:usb1="420024FF" w:usb2="02000000" w:usb3="00000000" w:csb0="2000019F" w:csb1="00000000"/>
  </w:font>
  <w:font w:name="Verdana">
    <w:panose1 w:val="020B0604030504040204"/>
    <w:charset w:val="00"/>
    <w:family w:val="auto"/>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1D34B7">
    <w:pPr>
      <w:pStyle w:val="229"/>
      <w:jc w:val="center"/>
      <w:rPr>
        <w:rFonts w:eastAsia="仿宋_GB2312"/>
        <w:b/>
        <w:sz w:val="22"/>
        <w:szCs w:val="21"/>
      </w:rPr>
    </w:pPr>
    <w:r>
      <w:rPr>
        <w:rStyle w:val="250"/>
        <w:rFonts w:eastAsia="仿宋_GB2312"/>
        <w:b/>
        <w:sz w:val="20"/>
      </w:rPr>
      <w:t>第</w:t>
    </w:r>
    <w:r>
      <w:rPr>
        <w:rFonts w:eastAsia="仿宋"/>
        <w:b/>
        <w:sz w:val="22"/>
        <w:szCs w:val="21"/>
      </w:rPr>
      <w:fldChar w:fldCharType="begin"/>
    </w:r>
    <w:r>
      <w:rPr>
        <w:rStyle w:val="250"/>
        <w:rFonts w:eastAsia="仿宋"/>
        <w:b/>
        <w:sz w:val="20"/>
      </w:rPr>
      <w:instrText xml:space="preserve"> PAGE </w:instrText>
    </w:r>
    <w:r>
      <w:rPr>
        <w:rFonts w:eastAsia="仿宋"/>
        <w:b/>
        <w:sz w:val="22"/>
        <w:szCs w:val="21"/>
      </w:rPr>
      <w:fldChar w:fldCharType="separate"/>
    </w:r>
    <w:r>
      <w:rPr>
        <w:rStyle w:val="250"/>
        <w:rFonts w:eastAsia="仿宋"/>
        <w:b/>
        <w:sz w:val="20"/>
      </w:rPr>
      <w:t>28</w:t>
    </w:r>
    <w:r>
      <w:rPr>
        <w:rFonts w:eastAsia="仿宋"/>
        <w:b/>
        <w:sz w:val="22"/>
        <w:szCs w:val="21"/>
      </w:rPr>
      <w:fldChar w:fldCharType="end"/>
    </w:r>
    <w:r>
      <w:rPr>
        <w:rStyle w:val="250"/>
        <w:rFonts w:eastAsia="仿宋_GB2312"/>
        <w:b/>
        <w:sz w:val="20"/>
      </w:rPr>
      <w:t>页，共</w:t>
    </w:r>
    <w:r>
      <w:rPr>
        <w:b/>
        <w:sz w:val="21"/>
        <w:szCs w:val="21"/>
      </w:rPr>
      <w:fldChar w:fldCharType="begin"/>
    </w:r>
    <w:r>
      <w:rPr>
        <w:b/>
        <w:sz w:val="21"/>
        <w:szCs w:val="21"/>
      </w:rPr>
      <w:instrText xml:space="preserve"> </w:instrText>
    </w:r>
    <w:r>
      <w:rPr>
        <w:rFonts w:hint="eastAsia"/>
        <w:b/>
        <w:sz w:val="21"/>
        <w:szCs w:val="21"/>
      </w:rPr>
      <w:instrText xml:space="preserve">=</w:instrText>
    </w:r>
    <w:r>
      <w:rPr>
        <w:b/>
        <w:sz w:val="21"/>
        <w:szCs w:val="21"/>
      </w:rPr>
      <w:fldChar w:fldCharType="begin"/>
    </w:r>
    <w:r>
      <w:rPr>
        <w:b/>
        <w:sz w:val="21"/>
        <w:szCs w:val="21"/>
      </w:rPr>
      <w:instrText xml:space="preserve"> NUMPAGES </w:instrText>
    </w:r>
    <w:r>
      <w:rPr>
        <w:b/>
        <w:sz w:val="21"/>
        <w:szCs w:val="21"/>
      </w:rPr>
      <w:fldChar w:fldCharType="separate"/>
    </w:r>
    <w:r>
      <w:rPr>
        <w:b/>
        <w:sz w:val="21"/>
        <w:szCs w:val="21"/>
      </w:rPr>
      <w:instrText xml:space="preserve">59</w:instrText>
    </w:r>
    <w:r>
      <w:rPr>
        <w:b/>
        <w:sz w:val="21"/>
        <w:szCs w:val="21"/>
      </w:rPr>
      <w:fldChar w:fldCharType="end"/>
    </w:r>
    <w:r>
      <w:rPr>
        <w:rFonts w:hint="eastAsia"/>
        <w:b/>
        <w:sz w:val="21"/>
        <w:szCs w:val="21"/>
      </w:rPr>
      <w:instrText xml:space="preserve">-2</w:instrText>
    </w:r>
    <w:r>
      <w:rPr>
        <w:b/>
        <w:sz w:val="21"/>
        <w:szCs w:val="21"/>
      </w:rPr>
      <w:fldChar w:fldCharType="separate"/>
    </w:r>
    <w:r>
      <w:rPr>
        <w:b/>
        <w:sz w:val="21"/>
        <w:szCs w:val="21"/>
      </w:rPr>
      <w:t>57</w:t>
    </w:r>
    <w:r>
      <w:rPr>
        <w:b/>
        <w:sz w:val="21"/>
        <w:szCs w:val="21"/>
      </w:rPr>
      <w:fldChar w:fldCharType="end"/>
    </w:r>
    <w:r>
      <w:rPr>
        <w:rStyle w:val="250"/>
        <w:rFonts w:eastAsia="仿宋_GB2312"/>
        <w:b/>
        <w:sz w:val="20"/>
      </w:rPr>
      <w:t>页</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E306ED"/>
    <w:multiLevelType w:val="multilevel"/>
    <w:tmpl w:val="B5E306ED"/>
    <w:lvl w:ilvl="0" w:tentative="0">
      <w:start w:val="1"/>
      <w:numFmt w:val="japaneseCounting"/>
      <w:lvlText w:val="%1．"/>
      <w:lvlJc w:val="left"/>
      <w:pPr>
        <w:ind w:left="986" w:hanging="504"/>
      </w:p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abstractNum w:abstractNumId="1">
    <w:nsid w:val="BF205925"/>
    <w:multiLevelType w:val="multilevel"/>
    <w:tmpl w:val="BF205925"/>
    <w:lvl w:ilvl="0" w:tentative="0">
      <w:start w:val="3"/>
      <w:numFmt w:val="japaneseCounting"/>
      <w:lvlText w:val="第%1章"/>
      <w:lvlJc w:val="left"/>
      <w:pPr>
        <w:tabs>
          <w:tab w:val="left" w:pos="1755"/>
        </w:tabs>
        <w:ind w:left="1755" w:hanging="1755"/>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CF092B84"/>
    <w:multiLevelType w:val="multilevel"/>
    <w:tmpl w:val="CF092B84"/>
    <w:lvl w:ilvl="0" w:tentative="0">
      <w:start w:val="1"/>
      <w:numFmt w:val="decimal"/>
      <w:pStyle w:val="291"/>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3">
    <w:nsid w:val="0053208E"/>
    <w:multiLevelType w:val="multilevel"/>
    <w:tmpl w:val="0053208E"/>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decimal"/>
      <w:pStyle w:val="193"/>
      <w:suff w:val="nothing"/>
      <w:lvlText w:val=""/>
      <w:lvlJc w:val="left"/>
      <w:pPr>
        <w:ind w:left="0" w:firstLine="0"/>
      </w:pPr>
      <w:rPr>
        <w:rFonts w:hint="eastAsia"/>
      </w:rPr>
    </w:lvl>
    <w:lvl w:ilvl="6" w:tentative="0">
      <w:start w:val="1"/>
      <w:numFmt w:val="decimal"/>
      <w:pStyle w:val="194"/>
      <w:suff w:val="nothing"/>
      <w:lvlText w:val=""/>
      <w:lvlJc w:val="left"/>
      <w:pPr>
        <w:ind w:left="0" w:firstLine="0"/>
      </w:pPr>
      <w:rPr>
        <w:rFonts w:hint="eastAsia"/>
      </w:rPr>
    </w:lvl>
    <w:lvl w:ilvl="7" w:tentative="0">
      <w:start w:val="1"/>
      <w:numFmt w:val="decimal"/>
      <w:pStyle w:val="195"/>
      <w:suff w:val="nothing"/>
      <w:lvlText w:val=""/>
      <w:lvlJc w:val="left"/>
      <w:pPr>
        <w:ind w:left="0" w:firstLine="0"/>
      </w:pPr>
      <w:rPr>
        <w:rFonts w:hint="eastAsia"/>
      </w:rPr>
    </w:lvl>
    <w:lvl w:ilvl="8" w:tentative="0">
      <w:start w:val="1"/>
      <w:numFmt w:val="decimal"/>
      <w:pStyle w:val="196"/>
      <w:suff w:val="nothing"/>
      <w:lvlText w:val=""/>
      <w:lvlJc w:val="left"/>
      <w:pPr>
        <w:ind w:left="0" w:firstLine="0"/>
      </w:pPr>
      <w:rPr>
        <w:rFonts w:hint="eastAsia"/>
      </w:rPr>
    </w:lvl>
  </w:abstractNum>
  <w:abstractNum w:abstractNumId="4">
    <w:nsid w:val="59ADCABA"/>
    <w:multiLevelType w:val="multilevel"/>
    <w:tmpl w:val="59ADCABA"/>
    <w:lvl w:ilvl="0" w:tentative="0">
      <w:start w:val="1"/>
      <w:numFmt w:val="upperLetter"/>
      <w:pStyle w:val="297"/>
      <w:lvlText w:val="附录%1."/>
      <w:lvlJc w:val="left"/>
      <w:pPr>
        <w:tabs>
          <w:tab w:val="left" w:pos="907"/>
        </w:tabs>
        <w:ind w:left="907" w:hanging="907"/>
      </w:pPr>
      <w:rPr>
        <w:rFonts w:hint="eastAsia"/>
      </w:rPr>
    </w:lvl>
    <w:lvl w:ilvl="1" w:tentative="0">
      <w:start w:val="1"/>
      <w:numFmt w:val="bullet"/>
      <w:lvlText w:val="o"/>
      <w:lvlJc w:val="left"/>
      <w:pPr>
        <w:ind w:left="1440" w:hanging="360"/>
      </w:pPr>
      <w:rPr>
        <w:rFonts w:hint="default" w:ascii="Courier New" w:hAnsi="Courier New" w:eastAsia="Courier New" w:cs="Courier New"/>
      </w:rPr>
    </w:lvl>
    <w:lvl w:ilvl="2" w:tentative="0">
      <w:start w:val="1"/>
      <w:numFmt w:val="bullet"/>
      <w:lvlText w:val="§"/>
      <w:lvlJc w:val="left"/>
      <w:pPr>
        <w:ind w:left="2160" w:hanging="360"/>
      </w:pPr>
      <w:rPr>
        <w:rFonts w:hint="default" w:ascii="Wingdings" w:hAnsi="Wingdings" w:eastAsia="Wingdings" w:cs="Wingdings"/>
      </w:rPr>
    </w:lvl>
    <w:lvl w:ilvl="3" w:tentative="0">
      <w:start w:val="1"/>
      <w:numFmt w:val="bullet"/>
      <w:lvlText w:val="·"/>
      <w:lvlJc w:val="left"/>
      <w:pPr>
        <w:ind w:left="2880" w:hanging="360"/>
      </w:pPr>
      <w:rPr>
        <w:rFonts w:hint="default" w:ascii="Symbol" w:hAnsi="Symbol" w:eastAsia="Symbol" w:cs="Symbol"/>
      </w:rPr>
    </w:lvl>
    <w:lvl w:ilvl="4" w:tentative="0">
      <w:start w:val="1"/>
      <w:numFmt w:val="bullet"/>
      <w:lvlText w:val="o"/>
      <w:lvlJc w:val="left"/>
      <w:pPr>
        <w:ind w:left="3600" w:hanging="360"/>
      </w:pPr>
      <w:rPr>
        <w:rFonts w:hint="default" w:ascii="Courier New" w:hAnsi="Courier New" w:eastAsia="Courier New" w:cs="Courier New"/>
      </w:rPr>
    </w:lvl>
    <w:lvl w:ilvl="5" w:tentative="0">
      <w:start w:val="1"/>
      <w:numFmt w:val="bullet"/>
      <w:lvlText w:val="§"/>
      <w:lvlJc w:val="left"/>
      <w:pPr>
        <w:ind w:left="4320" w:hanging="360"/>
      </w:pPr>
      <w:rPr>
        <w:rFonts w:hint="default" w:ascii="Wingdings" w:hAnsi="Wingdings" w:eastAsia="Wingdings" w:cs="Wingdings"/>
      </w:rPr>
    </w:lvl>
    <w:lvl w:ilvl="6" w:tentative="0">
      <w:start w:val="1"/>
      <w:numFmt w:val="bullet"/>
      <w:lvlText w:val="·"/>
      <w:lvlJc w:val="left"/>
      <w:pPr>
        <w:ind w:left="5040" w:hanging="360"/>
      </w:pPr>
      <w:rPr>
        <w:rFonts w:hint="default" w:ascii="Symbol" w:hAnsi="Symbol" w:eastAsia="Symbol" w:cs="Symbol"/>
      </w:rPr>
    </w:lvl>
    <w:lvl w:ilvl="7" w:tentative="0">
      <w:start w:val="1"/>
      <w:numFmt w:val="bullet"/>
      <w:lvlText w:val="o"/>
      <w:lvlJc w:val="left"/>
      <w:pPr>
        <w:ind w:left="5760" w:hanging="360"/>
      </w:pPr>
      <w:rPr>
        <w:rFonts w:hint="default" w:ascii="Courier New" w:hAnsi="Courier New" w:eastAsia="Courier New" w:cs="Courier New"/>
      </w:rPr>
    </w:lvl>
    <w:lvl w:ilvl="8" w:tentative="0">
      <w:start w:val="1"/>
      <w:numFmt w:val="bullet"/>
      <w:lvlText w:val="§"/>
      <w:lvlJc w:val="left"/>
      <w:pPr>
        <w:ind w:left="6480" w:hanging="360"/>
      </w:pPr>
      <w:rPr>
        <w:rFonts w:hint="default" w:ascii="Wingdings" w:hAnsi="Wingdings" w:eastAsia="Wingdings" w:cs="Wingdings"/>
      </w:r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balanceSingleByteDoubleByteWidth/>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C0BD0"/>
    <w:rsid w:val="027A0BE6"/>
    <w:rsid w:val="05812B41"/>
    <w:rsid w:val="0B0831A4"/>
    <w:rsid w:val="10750A53"/>
    <w:rsid w:val="17E07CD6"/>
    <w:rsid w:val="1B3B1CB8"/>
    <w:rsid w:val="269A062C"/>
    <w:rsid w:val="292853EB"/>
    <w:rsid w:val="2BB4516F"/>
    <w:rsid w:val="2BF02473"/>
    <w:rsid w:val="2E287328"/>
    <w:rsid w:val="30045BF3"/>
    <w:rsid w:val="32170A33"/>
    <w:rsid w:val="34B166F0"/>
    <w:rsid w:val="39A30AFB"/>
    <w:rsid w:val="3C7A608D"/>
    <w:rsid w:val="3CF4625E"/>
    <w:rsid w:val="41C934E6"/>
    <w:rsid w:val="41E83317"/>
    <w:rsid w:val="45095476"/>
    <w:rsid w:val="4B557A1C"/>
    <w:rsid w:val="4CA430FC"/>
    <w:rsid w:val="4CA6051D"/>
    <w:rsid w:val="4FF94F15"/>
    <w:rsid w:val="533A1405"/>
    <w:rsid w:val="5AAE0E58"/>
    <w:rsid w:val="5B4E5089"/>
    <w:rsid w:val="5E404D1C"/>
    <w:rsid w:val="5ED13367"/>
    <w:rsid w:val="631A3E21"/>
    <w:rsid w:val="690F0ADD"/>
    <w:rsid w:val="6A0D5B9B"/>
    <w:rsid w:val="6FC869B5"/>
    <w:rsid w:val="70F84783"/>
    <w:rsid w:val="71220B8A"/>
    <w:rsid w:val="760A11E0"/>
    <w:rsid w:val="788B4D92"/>
    <w:rsid w:val="7C52743D"/>
    <w:rsid w:val="DAFA0E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qFormat="1" w:uiPriority="99" w:semiHidden="0"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76"/>
    <w:qFormat/>
    <w:uiPriority w:val="0"/>
    <w:pPr>
      <w:widowControl w:val="0"/>
      <w:jc w:val="both"/>
    </w:pPr>
    <w:rPr>
      <w:rFonts w:hint="default" w:ascii="Calibri" w:hAnsi="Calibri" w:eastAsia="宋体" w:cs="Times New Roman"/>
      <w:sz w:val="21"/>
      <w:lang w:val="en-US" w:eastAsia="zh-CN" w:bidi="ar-SA"/>
    </w:rPr>
  </w:style>
  <w:style w:type="paragraph" w:styleId="4">
    <w:name w:val="heading 1"/>
    <w:basedOn w:val="1"/>
    <w:next w:val="1"/>
    <w:link w:val="39"/>
    <w:qFormat/>
    <w:uiPriority w:val="9"/>
    <w:pPr>
      <w:keepNext/>
      <w:keepLines/>
      <w:spacing w:before="480" w:after="200"/>
      <w:outlineLvl w:val="0"/>
    </w:pPr>
    <w:rPr>
      <w:rFonts w:ascii="Arial" w:hAnsi="Arial" w:eastAsia="Arial" w:cs="Arial"/>
      <w:sz w:val="40"/>
      <w:szCs w:val="40"/>
    </w:rPr>
  </w:style>
  <w:style w:type="paragraph" w:styleId="5">
    <w:name w:val="heading 2"/>
    <w:basedOn w:val="1"/>
    <w:next w:val="1"/>
    <w:link w:val="40"/>
    <w:unhideWhenUsed/>
    <w:qFormat/>
    <w:uiPriority w:val="9"/>
    <w:pPr>
      <w:keepNext/>
      <w:keepLines/>
      <w:spacing w:before="360" w:after="200"/>
      <w:outlineLvl w:val="1"/>
    </w:pPr>
    <w:rPr>
      <w:rFonts w:ascii="Arial" w:hAnsi="Arial" w:eastAsia="Arial" w:cs="Arial"/>
      <w:sz w:val="34"/>
    </w:rPr>
  </w:style>
  <w:style w:type="paragraph" w:styleId="6">
    <w:name w:val="heading 3"/>
    <w:basedOn w:val="1"/>
    <w:next w:val="1"/>
    <w:link w:val="41"/>
    <w:unhideWhenUsed/>
    <w:qFormat/>
    <w:uiPriority w:val="9"/>
    <w:pPr>
      <w:keepNext/>
      <w:keepLines/>
      <w:spacing w:before="320" w:after="200"/>
      <w:outlineLvl w:val="2"/>
    </w:pPr>
    <w:rPr>
      <w:rFonts w:ascii="Arial" w:hAnsi="Arial" w:eastAsia="Arial" w:cs="Arial"/>
      <w:sz w:val="30"/>
      <w:szCs w:val="30"/>
    </w:rPr>
  </w:style>
  <w:style w:type="paragraph" w:styleId="7">
    <w:name w:val="heading 4"/>
    <w:basedOn w:val="1"/>
    <w:next w:val="1"/>
    <w:link w:val="42"/>
    <w:unhideWhenUsed/>
    <w:qFormat/>
    <w:uiPriority w:val="9"/>
    <w:pPr>
      <w:keepNext/>
      <w:keepLines/>
      <w:spacing w:before="320" w:after="200"/>
      <w:outlineLvl w:val="3"/>
    </w:pPr>
    <w:rPr>
      <w:rFonts w:ascii="Arial" w:hAnsi="Arial" w:eastAsia="Arial" w:cs="Arial"/>
      <w:b/>
      <w:bCs/>
      <w:sz w:val="26"/>
      <w:szCs w:val="26"/>
    </w:rPr>
  </w:style>
  <w:style w:type="paragraph" w:styleId="8">
    <w:name w:val="heading 5"/>
    <w:basedOn w:val="1"/>
    <w:next w:val="1"/>
    <w:link w:val="43"/>
    <w:unhideWhenUsed/>
    <w:qFormat/>
    <w:uiPriority w:val="9"/>
    <w:pPr>
      <w:keepNext/>
      <w:keepLines/>
      <w:spacing w:before="320" w:after="200"/>
      <w:outlineLvl w:val="4"/>
    </w:pPr>
    <w:rPr>
      <w:rFonts w:ascii="Arial" w:hAnsi="Arial" w:eastAsia="Arial" w:cs="Arial"/>
      <w:b/>
      <w:bCs/>
      <w:sz w:val="24"/>
      <w:szCs w:val="24"/>
    </w:rPr>
  </w:style>
  <w:style w:type="paragraph" w:styleId="9">
    <w:name w:val="heading 6"/>
    <w:basedOn w:val="1"/>
    <w:next w:val="1"/>
    <w:link w:val="44"/>
    <w:unhideWhenUsed/>
    <w:qFormat/>
    <w:uiPriority w:val="9"/>
    <w:pPr>
      <w:keepNext/>
      <w:keepLines/>
      <w:spacing w:before="320" w:after="200"/>
      <w:outlineLvl w:val="5"/>
    </w:pPr>
    <w:rPr>
      <w:rFonts w:ascii="Arial" w:hAnsi="Arial" w:eastAsia="Arial" w:cs="Arial"/>
      <w:b/>
      <w:bCs/>
      <w:sz w:val="22"/>
      <w:szCs w:val="22"/>
    </w:rPr>
  </w:style>
  <w:style w:type="paragraph" w:styleId="10">
    <w:name w:val="heading 7"/>
    <w:basedOn w:val="1"/>
    <w:next w:val="1"/>
    <w:link w:val="45"/>
    <w:unhideWhenUsed/>
    <w:qFormat/>
    <w:uiPriority w:val="9"/>
    <w:pPr>
      <w:keepNext/>
      <w:keepLines/>
      <w:spacing w:before="320" w:after="200"/>
      <w:outlineLvl w:val="6"/>
    </w:pPr>
    <w:rPr>
      <w:rFonts w:ascii="Arial" w:hAnsi="Arial" w:eastAsia="Arial" w:cs="Arial"/>
      <w:b/>
      <w:bCs/>
      <w:i/>
      <w:iCs/>
      <w:sz w:val="22"/>
      <w:szCs w:val="22"/>
    </w:rPr>
  </w:style>
  <w:style w:type="paragraph" w:styleId="11">
    <w:name w:val="heading 8"/>
    <w:basedOn w:val="1"/>
    <w:next w:val="1"/>
    <w:link w:val="46"/>
    <w:unhideWhenUsed/>
    <w:qFormat/>
    <w:uiPriority w:val="9"/>
    <w:pPr>
      <w:keepNext/>
      <w:keepLines/>
      <w:spacing w:before="320" w:after="200"/>
      <w:outlineLvl w:val="7"/>
    </w:pPr>
    <w:rPr>
      <w:rFonts w:ascii="Arial" w:hAnsi="Arial" w:eastAsia="Arial" w:cs="Arial"/>
      <w:i/>
      <w:iCs/>
      <w:sz w:val="22"/>
      <w:szCs w:val="22"/>
    </w:rPr>
  </w:style>
  <w:style w:type="paragraph" w:styleId="12">
    <w:name w:val="heading 9"/>
    <w:basedOn w:val="1"/>
    <w:next w:val="1"/>
    <w:link w:val="47"/>
    <w:unhideWhenUsed/>
    <w:qFormat/>
    <w:uiPriority w:val="9"/>
    <w:pPr>
      <w:keepNext/>
      <w:keepLines/>
      <w:spacing w:before="320" w:after="200"/>
      <w:outlineLvl w:val="8"/>
    </w:pPr>
    <w:rPr>
      <w:rFonts w:ascii="Arial" w:hAnsi="Arial" w:eastAsia="Arial" w:cs="Arial"/>
      <w:i/>
      <w:iCs/>
      <w:sz w:val="21"/>
      <w:szCs w:val="21"/>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customStyle="1" w:styleId="2">
    <w:name w:val="_Style 3"/>
    <w:next w:val="3"/>
    <w:qFormat/>
    <w:uiPriority w:val="99"/>
    <w:pPr>
      <w:widowControl w:val="0"/>
      <w:jc w:val="both"/>
    </w:pPr>
    <w:rPr>
      <w:rFonts w:hint="default" w:ascii="Times New Roman" w:hAnsi="Times New Roman" w:eastAsia="宋体" w:cs="Times New Roman"/>
      <w:sz w:val="21"/>
      <w:szCs w:val="22"/>
      <w:lang w:val="en-US" w:eastAsia="zh-CN" w:bidi="ar-SA"/>
    </w:rPr>
  </w:style>
  <w:style w:type="paragraph" w:styleId="3">
    <w:name w:val="Body Text Indent 3"/>
    <w:basedOn w:val="1"/>
    <w:qFormat/>
    <w:uiPriority w:val="0"/>
    <w:pPr>
      <w:ind w:left="645" w:firstLine="645"/>
    </w:pPr>
    <w:rPr>
      <w:rFonts w:ascii="Arial" w:hAnsi="Arial" w:eastAsia="仿宋_GB2312"/>
      <w:color w:val="FFFF00"/>
      <w:sz w:val="32"/>
      <w:szCs w:val="32"/>
    </w:rPr>
  </w:style>
  <w:style w:type="paragraph" w:styleId="13">
    <w:name w:val="toc 7"/>
    <w:basedOn w:val="1"/>
    <w:next w:val="1"/>
    <w:unhideWhenUsed/>
    <w:qFormat/>
    <w:uiPriority w:val="39"/>
    <w:pPr>
      <w:spacing w:after="57"/>
      <w:ind w:left="1701" w:right="0" w:firstLine="0"/>
    </w:pPr>
  </w:style>
  <w:style w:type="paragraph" w:styleId="14">
    <w:name w:val="caption"/>
    <w:basedOn w:val="1"/>
    <w:next w:val="1"/>
    <w:semiHidden/>
    <w:unhideWhenUsed/>
    <w:qFormat/>
    <w:uiPriority w:val="35"/>
    <w:pPr>
      <w:spacing w:line="276" w:lineRule="auto"/>
    </w:pPr>
    <w:rPr>
      <w:b/>
      <w:bCs/>
      <w:color w:val="4F81BD" w:themeColor="accent1"/>
      <w:sz w:val="18"/>
      <w:szCs w:val="18"/>
      <w14:textFill>
        <w14:solidFill>
          <w14:schemeClr w14:val="accent1"/>
        </w14:solidFill>
      </w14:textFill>
    </w:rPr>
  </w:style>
  <w:style w:type="paragraph" w:styleId="15">
    <w:name w:val="annotation text"/>
    <w:basedOn w:val="1"/>
    <w:semiHidden/>
    <w:unhideWhenUsed/>
    <w:qFormat/>
    <w:uiPriority w:val="99"/>
    <w:pPr>
      <w:jc w:val="left"/>
    </w:pPr>
  </w:style>
  <w:style w:type="paragraph" w:styleId="16">
    <w:name w:val="toc 5"/>
    <w:basedOn w:val="1"/>
    <w:next w:val="1"/>
    <w:unhideWhenUsed/>
    <w:qFormat/>
    <w:uiPriority w:val="39"/>
    <w:pPr>
      <w:spacing w:after="57"/>
      <w:ind w:left="1134" w:right="0" w:firstLine="0"/>
    </w:pPr>
  </w:style>
  <w:style w:type="paragraph" w:styleId="17">
    <w:name w:val="toc 3"/>
    <w:basedOn w:val="1"/>
    <w:next w:val="1"/>
    <w:unhideWhenUsed/>
    <w:qFormat/>
    <w:uiPriority w:val="39"/>
    <w:pPr>
      <w:spacing w:after="57"/>
      <w:ind w:left="567" w:right="0" w:firstLine="0"/>
    </w:pPr>
  </w:style>
  <w:style w:type="paragraph" w:styleId="18">
    <w:name w:val="toc 8"/>
    <w:basedOn w:val="1"/>
    <w:next w:val="1"/>
    <w:unhideWhenUsed/>
    <w:qFormat/>
    <w:uiPriority w:val="39"/>
    <w:pPr>
      <w:spacing w:after="57"/>
      <w:ind w:left="1984" w:right="0" w:firstLine="0"/>
    </w:pPr>
  </w:style>
  <w:style w:type="paragraph" w:styleId="19">
    <w:name w:val="endnote text"/>
    <w:basedOn w:val="1"/>
    <w:link w:val="185"/>
    <w:semiHidden/>
    <w:unhideWhenUsed/>
    <w:qFormat/>
    <w:uiPriority w:val="99"/>
    <w:pPr>
      <w:spacing w:after="0" w:line="240" w:lineRule="auto"/>
    </w:pPr>
    <w:rPr>
      <w:sz w:val="20"/>
    </w:rPr>
  </w:style>
  <w:style w:type="paragraph" w:styleId="20">
    <w:name w:val="footer"/>
    <w:basedOn w:val="1"/>
    <w:link w:val="58"/>
    <w:unhideWhenUsed/>
    <w:qFormat/>
    <w:uiPriority w:val="99"/>
    <w:pPr>
      <w:tabs>
        <w:tab w:val="center" w:pos="7143"/>
        <w:tab w:val="right" w:pos="14287"/>
      </w:tabs>
      <w:spacing w:after="0" w:line="240" w:lineRule="auto"/>
    </w:pPr>
  </w:style>
  <w:style w:type="paragraph" w:styleId="21">
    <w:name w:val="header"/>
    <w:basedOn w:val="1"/>
    <w:link w:val="56"/>
    <w:unhideWhenUsed/>
    <w:qFormat/>
    <w:uiPriority w:val="99"/>
    <w:pPr>
      <w:tabs>
        <w:tab w:val="center" w:pos="7143"/>
        <w:tab w:val="right" w:pos="14287"/>
      </w:tabs>
      <w:spacing w:after="0" w:line="240" w:lineRule="auto"/>
    </w:pPr>
  </w:style>
  <w:style w:type="paragraph" w:styleId="22">
    <w:name w:val="toc 1"/>
    <w:basedOn w:val="1"/>
    <w:next w:val="1"/>
    <w:unhideWhenUsed/>
    <w:qFormat/>
    <w:uiPriority w:val="39"/>
    <w:pPr>
      <w:spacing w:after="57"/>
      <w:ind w:left="0" w:right="0" w:firstLine="0"/>
    </w:pPr>
  </w:style>
  <w:style w:type="paragraph" w:styleId="23">
    <w:name w:val="toc 4"/>
    <w:basedOn w:val="1"/>
    <w:next w:val="1"/>
    <w:unhideWhenUsed/>
    <w:qFormat/>
    <w:uiPriority w:val="39"/>
    <w:pPr>
      <w:spacing w:after="57"/>
      <w:ind w:left="850" w:right="0" w:firstLine="0"/>
    </w:pPr>
  </w:style>
  <w:style w:type="paragraph" w:styleId="24">
    <w:name w:val="Subtitle"/>
    <w:basedOn w:val="1"/>
    <w:next w:val="1"/>
    <w:link w:val="51"/>
    <w:qFormat/>
    <w:uiPriority w:val="11"/>
    <w:pPr>
      <w:spacing w:before="200" w:after="200"/>
    </w:pPr>
    <w:rPr>
      <w:sz w:val="24"/>
      <w:szCs w:val="24"/>
    </w:rPr>
  </w:style>
  <w:style w:type="paragraph" w:styleId="25">
    <w:name w:val="footnote text"/>
    <w:basedOn w:val="1"/>
    <w:link w:val="184"/>
    <w:semiHidden/>
    <w:unhideWhenUsed/>
    <w:qFormat/>
    <w:uiPriority w:val="99"/>
    <w:pPr>
      <w:spacing w:after="40" w:line="240" w:lineRule="auto"/>
    </w:pPr>
    <w:rPr>
      <w:sz w:val="18"/>
    </w:rPr>
  </w:style>
  <w:style w:type="paragraph" w:styleId="26">
    <w:name w:val="toc 6"/>
    <w:basedOn w:val="1"/>
    <w:next w:val="1"/>
    <w:unhideWhenUsed/>
    <w:qFormat/>
    <w:uiPriority w:val="39"/>
    <w:pPr>
      <w:spacing w:after="57"/>
      <w:ind w:left="1417" w:right="0" w:firstLine="0"/>
    </w:pPr>
  </w:style>
  <w:style w:type="paragraph" w:styleId="27">
    <w:name w:val="table of figures"/>
    <w:basedOn w:val="1"/>
    <w:next w:val="1"/>
    <w:unhideWhenUsed/>
    <w:qFormat/>
    <w:uiPriority w:val="99"/>
    <w:pPr>
      <w:spacing w:after="0" w:afterAutospacing="0"/>
    </w:pPr>
  </w:style>
  <w:style w:type="paragraph" w:styleId="28">
    <w:name w:val="toc 2"/>
    <w:basedOn w:val="1"/>
    <w:next w:val="1"/>
    <w:unhideWhenUsed/>
    <w:qFormat/>
    <w:uiPriority w:val="39"/>
    <w:pPr>
      <w:spacing w:after="57"/>
      <w:ind w:left="283" w:right="0" w:firstLine="0"/>
    </w:pPr>
  </w:style>
  <w:style w:type="paragraph" w:styleId="29">
    <w:name w:val="toc 9"/>
    <w:basedOn w:val="1"/>
    <w:next w:val="1"/>
    <w:unhideWhenUsed/>
    <w:qFormat/>
    <w:uiPriority w:val="39"/>
    <w:pPr>
      <w:spacing w:after="57"/>
      <w:ind w:left="2268" w:right="0" w:firstLine="0"/>
    </w:pPr>
  </w:style>
  <w:style w:type="paragraph" w:styleId="30">
    <w:name w:val="Title"/>
    <w:basedOn w:val="1"/>
    <w:next w:val="1"/>
    <w:link w:val="50"/>
    <w:qFormat/>
    <w:uiPriority w:val="10"/>
    <w:pPr>
      <w:spacing w:before="300" w:after="200"/>
      <w:contextualSpacing/>
    </w:pPr>
    <w:rPr>
      <w:sz w:val="48"/>
      <w:szCs w:val="48"/>
    </w:rPr>
  </w:style>
  <w:style w:type="table" w:styleId="32">
    <w:name w:val="Table Grid"/>
    <w:qFormat/>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34">
    <w:name w:val="Strong"/>
    <w:basedOn w:val="33"/>
    <w:qFormat/>
    <w:uiPriority w:val="22"/>
    <w:rPr>
      <w:b/>
    </w:rPr>
  </w:style>
  <w:style w:type="character" w:styleId="35">
    <w:name w:val="endnote reference"/>
    <w:semiHidden/>
    <w:unhideWhenUsed/>
    <w:qFormat/>
    <w:uiPriority w:val="99"/>
    <w:rPr>
      <w:vertAlign w:val="superscript"/>
    </w:rPr>
  </w:style>
  <w:style w:type="character" w:styleId="36">
    <w:name w:val="Hyperlink"/>
    <w:unhideWhenUsed/>
    <w:qFormat/>
    <w:uiPriority w:val="99"/>
    <w:rPr>
      <w:color w:val="0000FF" w:themeColor="hyperlink"/>
      <w:u w:val="single"/>
      <w14:textFill>
        <w14:solidFill>
          <w14:schemeClr w14:val="hlink"/>
        </w14:solidFill>
      </w14:textFill>
    </w:rPr>
  </w:style>
  <w:style w:type="character" w:styleId="37">
    <w:name w:val="footnote reference"/>
    <w:unhideWhenUsed/>
    <w:qFormat/>
    <w:uiPriority w:val="99"/>
    <w:rPr>
      <w:vertAlign w:val="superscript"/>
    </w:rPr>
  </w:style>
  <w:style w:type="paragraph" w:customStyle="1" w:styleId="38">
    <w:name w:val="正文文本缩进 31"/>
    <w:basedOn w:val="1"/>
    <w:link w:val="199"/>
    <w:qFormat/>
    <w:uiPriority w:val="0"/>
    <w:pPr>
      <w:ind w:left="645" w:firstLine="645"/>
    </w:pPr>
    <w:rPr>
      <w:rFonts w:ascii="Arial" w:hAnsi="Arial" w:eastAsia="仿宋_GB2312"/>
      <w:color w:val="FFFF00"/>
      <w:sz w:val="32"/>
      <w:szCs w:val="32"/>
    </w:rPr>
  </w:style>
  <w:style w:type="character" w:customStyle="1" w:styleId="39">
    <w:name w:val="Heading 1 Char"/>
    <w:link w:val="4"/>
    <w:qFormat/>
    <w:uiPriority w:val="9"/>
    <w:rPr>
      <w:rFonts w:ascii="Arial" w:hAnsi="Arial" w:eastAsia="Arial" w:cs="Arial"/>
      <w:sz w:val="40"/>
      <w:szCs w:val="40"/>
    </w:rPr>
  </w:style>
  <w:style w:type="character" w:customStyle="1" w:styleId="40">
    <w:name w:val="Heading 2 Char"/>
    <w:link w:val="5"/>
    <w:qFormat/>
    <w:uiPriority w:val="9"/>
    <w:rPr>
      <w:rFonts w:ascii="Arial" w:hAnsi="Arial" w:eastAsia="Arial" w:cs="Arial"/>
      <w:sz w:val="34"/>
    </w:rPr>
  </w:style>
  <w:style w:type="character" w:customStyle="1" w:styleId="41">
    <w:name w:val="Heading 3 Char"/>
    <w:link w:val="6"/>
    <w:qFormat/>
    <w:uiPriority w:val="9"/>
    <w:rPr>
      <w:rFonts w:ascii="Arial" w:hAnsi="Arial" w:eastAsia="Arial" w:cs="Arial"/>
      <w:sz w:val="30"/>
      <w:szCs w:val="30"/>
    </w:rPr>
  </w:style>
  <w:style w:type="character" w:customStyle="1" w:styleId="42">
    <w:name w:val="Heading 4 Char"/>
    <w:link w:val="7"/>
    <w:qFormat/>
    <w:uiPriority w:val="9"/>
    <w:rPr>
      <w:rFonts w:ascii="Arial" w:hAnsi="Arial" w:eastAsia="Arial" w:cs="Arial"/>
      <w:b/>
      <w:bCs/>
      <w:sz w:val="26"/>
      <w:szCs w:val="26"/>
    </w:rPr>
  </w:style>
  <w:style w:type="character" w:customStyle="1" w:styleId="43">
    <w:name w:val="Heading 5 Char"/>
    <w:link w:val="8"/>
    <w:qFormat/>
    <w:uiPriority w:val="9"/>
    <w:rPr>
      <w:rFonts w:ascii="Arial" w:hAnsi="Arial" w:eastAsia="Arial" w:cs="Arial"/>
      <w:b/>
      <w:bCs/>
      <w:sz w:val="24"/>
      <w:szCs w:val="24"/>
    </w:rPr>
  </w:style>
  <w:style w:type="character" w:customStyle="1" w:styleId="44">
    <w:name w:val="Heading 6 Char"/>
    <w:link w:val="9"/>
    <w:qFormat/>
    <w:uiPriority w:val="9"/>
    <w:rPr>
      <w:rFonts w:ascii="Arial" w:hAnsi="Arial" w:eastAsia="Arial" w:cs="Arial"/>
      <w:b/>
      <w:bCs/>
      <w:sz w:val="22"/>
      <w:szCs w:val="22"/>
    </w:rPr>
  </w:style>
  <w:style w:type="character" w:customStyle="1" w:styleId="45">
    <w:name w:val="Heading 7 Char"/>
    <w:link w:val="10"/>
    <w:qFormat/>
    <w:uiPriority w:val="9"/>
    <w:rPr>
      <w:rFonts w:ascii="Arial" w:hAnsi="Arial" w:eastAsia="Arial" w:cs="Arial"/>
      <w:b/>
      <w:bCs/>
      <w:i/>
      <w:iCs/>
      <w:sz w:val="22"/>
      <w:szCs w:val="22"/>
    </w:rPr>
  </w:style>
  <w:style w:type="character" w:customStyle="1" w:styleId="46">
    <w:name w:val="Heading 8 Char"/>
    <w:link w:val="11"/>
    <w:qFormat/>
    <w:uiPriority w:val="9"/>
    <w:rPr>
      <w:rFonts w:ascii="Arial" w:hAnsi="Arial" w:eastAsia="Arial" w:cs="Arial"/>
      <w:i/>
      <w:iCs/>
      <w:sz w:val="22"/>
      <w:szCs w:val="22"/>
    </w:rPr>
  </w:style>
  <w:style w:type="character" w:customStyle="1" w:styleId="47">
    <w:name w:val="Heading 9 Char"/>
    <w:link w:val="12"/>
    <w:qFormat/>
    <w:uiPriority w:val="9"/>
    <w:rPr>
      <w:rFonts w:ascii="Arial" w:hAnsi="Arial" w:eastAsia="Arial" w:cs="Arial"/>
      <w:i/>
      <w:iCs/>
      <w:sz w:val="21"/>
      <w:szCs w:val="21"/>
    </w:rPr>
  </w:style>
  <w:style w:type="paragraph" w:styleId="48">
    <w:name w:val="List Paragraph"/>
    <w:basedOn w:val="1"/>
    <w:qFormat/>
    <w:uiPriority w:val="34"/>
    <w:pPr>
      <w:ind w:left="720"/>
      <w:contextualSpacing/>
    </w:pPr>
  </w:style>
  <w:style w:type="paragraph" w:styleId="49">
    <w:name w:val="No Spacing"/>
    <w:qFormat/>
    <w:uiPriority w:val="1"/>
    <w:pPr>
      <w:spacing w:before="0" w:after="0" w:line="240" w:lineRule="auto"/>
    </w:pPr>
    <w:rPr>
      <w:rFonts w:hint="default" w:ascii="Calibri" w:hAnsi="Calibri" w:eastAsia="宋体" w:cs="Times New Roman"/>
    </w:rPr>
  </w:style>
  <w:style w:type="character" w:customStyle="1" w:styleId="50">
    <w:name w:val="Title Char"/>
    <w:link w:val="30"/>
    <w:qFormat/>
    <w:uiPriority w:val="10"/>
    <w:rPr>
      <w:sz w:val="48"/>
      <w:szCs w:val="48"/>
    </w:rPr>
  </w:style>
  <w:style w:type="character" w:customStyle="1" w:styleId="51">
    <w:name w:val="Subtitle Char"/>
    <w:link w:val="24"/>
    <w:qFormat/>
    <w:uiPriority w:val="11"/>
    <w:rPr>
      <w:sz w:val="24"/>
      <w:szCs w:val="24"/>
    </w:rPr>
  </w:style>
  <w:style w:type="paragraph" w:styleId="52">
    <w:name w:val="Quote"/>
    <w:basedOn w:val="1"/>
    <w:next w:val="1"/>
    <w:link w:val="53"/>
    <w:qFormat/>
    <w:uiPriority w:val="29"/>
    <w:pPr>
      <w:ind w:left="720" w:right="720"/>
    </w:pPr>
    <w:rPr>
      <w:i/>
    </w:rPr>
  </w:style>
  <w:style w:type="character" w:customStyle="1" w:styleId="53">
    <w:name w:val="Quote Char"/>
    <w:link w:val="52"/>
    <w:qFormat/>
    <w:uiPriority w:val="29"/>
    <w:rPr>
      <w:i/>
    </w:rPr>
  </w:style>
  <w:style w:type="paragraph" w:styleId="54">
    <w:name w:val="Intense Quote"/>
    <w:basedOn w:val="1"/>
    <w:next w:val="1"/>
    <w:link w:val="55"/>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5">
    <w:name w:val="Intense Quote Char"/>
    <w:link w:val="54"/>
    <w:qFormat/>
    <w:uiPriority w:val="30"/>
    <w:rPr>
      <w:i/>
    </w:rPr>
  </w:style>
  <w:style w:type="character" w:customStyle="1" w:styleId="56">
    <w:name w:val="Header Char"/>
    <w:link w:val="21"/>
    <w:qFormat/>
    <w:uiPriority w:val="99"/>
  </w:style>
  <w:style w:type="character" w:customStyle="1" w:styleId="57">
    <w:name w:val="Footer Char"/>
    <w:link w:val="20"/>
    <w:qFormat/>
    <w:uiPriority w:val="99"/>
  </w:style>
  <w:style w:type="character" w:customStyle="1" w:styleId="58">
    <w:name w:val="Caption Char"/>
    <w:link w:val="20"/>
    <w:qFormat/>
    <w:uiPriority w:val="99"/>
  </w:style>
  <w:style w:type="table" w:customStyle="1" w:styleId="59">
    <w:name w:val="Table Grid Light"/>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style>
  <w:style w:type="table" w:customStyle="1" w:styleId="60">
    <w:name w:val="Plain Table 1"/>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shd w:val="clear" w:color="F1F1F1" w:themeColor="text1" w:themeTint="0D" w:fill="F1F1F1" w:themeFill="text1" w:themeFillTint="0D"/>
      </w:tcPr>
    </w:tblStylePr>
    <w:tblStylePr w:type="band1Horz">
      <w:tcPr>
        <w:shd w:val="clear" w:color="F1F1F1" w:themeColor="text1" w:themeTint="0D" w:fill="F1F1F1" w:themeFill="text1" w:themeFillTint="0D"/>
      </w:tcPr>
    </w:tblStylePr>
  </w:style>
  <w:style w:type="table" w:customStyle="1" w:styleId="61">
    <w:name w:val="Plain Table 2"/>
    <w:qFormat/>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band1Horz">
      <w:tcPr>
        <w:tcBorders>
          <w:top w:val="single" w:color="000000" w:themeColor="text1" w:sz="4" w:space="0"/>
          <w:bottom w:val="single" w:color="000000" w:themeColor="text1" w:sz="4" w:space="0"/>
        </w:tcBorders>
      </w:tcPr>
    </w:tblStylePr>
  </w:style>
  <w:style w:type="table" w:customStyle="1" w:styleId="62">
    <w:name w:val="Plain Table 3"/>
    <w:qFormat/>
    <w:uiPriority w:val="99"/>
    <w:pPr>
      <w:spacing w:after="0" w:line="240" w:lineRule="auto"/>
    </w:pPr>
    <w:tblStylePr w:type="firstRow">
      <w:rPr>
        <w:b/>
        <w:caps/>
        <w:color w:val="404040"/>
      </w:rPr>
      <w:tcPr>
        <w:tcBorders>
          <w:top w:val="nil"/>
          <w:left w:val="nil"/>
          <w:bottom w:val="single" w:color="404040" w:sz="4" w:space="0"/>
          <w:right w:val="nil"/>
        </w:tcBorders>
      </w:tcPr>
    </w:tblStylePr>
    <w:tblStylePr w:type="lastRow">
      <w:rPr>
        <w:b/>
        <w:caps/>
        <w:color w:val="404040"/>
      </w:rPr>
    </w:tblStylePr>
    <w:tblStylePr w:type="firstCol">
      <w:rPr>
        <w:b/>
        <w:caps/>
        <w:color w:val="404040"/>
      </w:rPr>
      <w:tcPr>
        <w:tcBorders>
          <w:top w:val="nil"/>
          <w:left w:val="nil"/>
          <w:bottom w:val="nil"/>
          <w:right w:val="single" w:color="404040" w:sz="4" w:space="0"/>
        </w:tcBorders>
      </w:tcPr>
    </w:tblStylePr>
    <w:tblStylePr w:type="lastCol">
      <w:rPr>
        <w:b/>
        <w:caps/>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3">
    <w:name w:val="Plain Table 4"/>
    <w:qFormat/>
    <w:uiPriority w:val="99"/>
    <w:pPr>
      <w:spacing w:after="0" w:line="240" w:lineRule="auto"/>
    </w:p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4">
    <w:name w:val="Plain Table 5"/>
    <w:qFormat/>
    <w:uiPriority w:val="99"/>
    <w:pPr>
      <w:spacing w:after="0" w:line="240" w:lineRule="auto"/>
    </w:pPr>
    <w:tblStylePr w:type="firstRow">
      <w:rPr>
        <w:i/>
        <w:color w:val="404040"/>
      </w:rPr>
      <w:tcPr>
        <w:tcBorders>
          <w:left w:val="nil"/>
          <w:bottom w:val="single" w:color="404040" w:sz="4" w:space="0"/>
          <w:right w:val="nil"/>
        </w:tcBorders>
        <w:shd w:val="clear" w:color="FFFFFF" w:fill="auto"/>
      </w:tcPr>
    </w:tblStylePr>
    <w:tblStylePr w:type="lastRow">
      <w:rPr>
        <w:i/>
        <w:color w:val="404040"/>
      </w:rPr>
      <w:tcPr>
        <w:tcBorders>
          <w:top w:val="single" w:color="404040" w:sz="4" w:space="0"/>
          <w:left w:val="nil"/>
          <w:right w:val="nil"/>
        </w:tcBorders>
        <w:shd w:val="clear" w:color="FFFFFF" w:fill="auto"/>
      </w:tcPr>
    </w:tblStylePr>
    <w:tblStylePr w:type="firstCol">
      <w:pPr>
        <w:jc w:val="right"/>
      </w:pPr>
      <w:rPr>
        <w:i/>
        <w:color w:val="404040"/>
      </w:rPr>
      <w:tcPr>
        <w:tcBorders>
          <w:right w:val="single" w:color="404040" w:sz="4" w:space="0"/>
        </w:tcBorders>
        <w:shd w:val="clear" w:color="FFFFFF" w:fill="auto"/>
      </w:tcPr>
    </w:tblStylePr>
    <w:tblStylePr w:type="lastCol">
      <w:rPr>
        <w:i/>
        <w:color w:val="404040"/>
      </w:rPr>
      <w:tcPr>
        <w:tcBorders>
          <w:left w:val="single" w:color="404040" w:sz="4" w:space="0"/>
        </w:tcBorders>
        <w:shd w:val="clear" w:color="FFFFFF" w:fill="auto"/>
      </w:tc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5">
    <w:name w:val="Grid Table 1 Light"/>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cPr>
        <w:tcBorders>
          <w:bottom w:val="single" w:color="696969" w:themeColor="tex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style>
  <w:style w:type="table" w:customStyle="1" w:styleId="66">
    <w:name w:val="Grid Table 1 Light - Accent 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cPr>
        <w:tcBorders>
          <w:bottom w:val="single" w:color="98B5D8" w:themeColor="accen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style>
  <w:style w:type="table" w:customStyle="1" w:styleId="67">
    <w:name w:val="Grid Table 1 Light - Accent 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cPr>
        <w:tcBorders>
          <w:bottom w:val="single" w:color="DA9896" w:themeColor="accent2"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style>
  <w:style w:type="table" w:customStyle="1" w:styleId="68">
    <w:name w:val="Grid Table 1 Light - Accent 3"/>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cPr>
        <w:tcBorders>
          <w:bottom w:val="single" w:color="C4D79E" w:themeColor="accent3"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style>
  <w:style w:type="table" w:customStyle="1" w:styleId="69">
    <w:name w:val="Grid Table 1 Light - Accent 4"/>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cPr>
        <w:tcBorders>
          <w:bottom w:val="single" w:color="B4A4C8" w:themeColor="accent4"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style>
  <w:style w:type="table" w:customStyle="1" w:styleId="70">
    <w:name w:val="Grid Table 1 Light - Accent 5"/>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cPr>
        <w:tcBorders>
          <w:bottom w:val="single" w:color="95CEDD" w:themeColor="accent5"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style>
  <w:style w:type="table" w:customStyle="1" w:styleId="71">
    <w:name w:val="Grid Table 1 Light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cPr>
        <w:tcBorders>
          <w:bottom w:val="single" w:color="FAC192" w:themeColor="accent6"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style>
  <w:style w:type="table" w:customStyle="1" w:styleId="72">
    <w:name w:val="Grid Table 2"/>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single" w:color="696969" w:themeColor="text1" w:themeTint="95" w:sz="12" w:space="0"/>
          <w:right w:val="nil"/>
        </w:tcBorders>
        <w:shd w:val="clear" w:color="FFFFFF" w:fill="auto"/>
      </w:tcPr>
    </w:tblStylePr>
    <w:tblStylePr w:type="lastRow">
      <w:rPr>
        <w:b/>
        <w:color w:val="404040"/>
      </w:rPr>
      <w:tcPr>
        <w:tcBorders>
          <w:top w:val="single" w:color="696969" w:themeColor="text1" w:themeTint="9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73">
    <w:name w:val="Grid Table 2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single" w:color="5D8BC2" w:themeColor="accent1" w:themeTint="EA" w:sz="12" w:space="0"/>
          <w:right w:val="nil"/>
        </w:tcBorders>
        <w:shd w:val="clear" w:color="FFFFFF" w:fill="auto"/>
      </w:tcPr>
    </w:tblStylePr>
    <w:tblStylePr w:type="lastRow">
      <w:rPr>
        <w:b/>
        <w:color w:val="404040"/>
      </w:rPr>
      <w:tcPr>
        <w:tcBorders>
          <w:top w:val="single" w:color="5D8BC2" w:themeColor="accent1" w:themeTint="E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BE5F1" w:themeColor="accent1" w:themeTint="34" w:fill="DBE5F1" w:themeFill="accent1" w:themeFillTint="34"/>
      </w:tcPr>
    </w:tblStylePr>
    <w:tblStylePr w:type="band1Horz">
      <w:rPr>
        <w:rFonts w:ascii="Arial" w:hAnsi="Arial"/>
        <w:color w:val="404040"/>
        <w:sz w:val="22"/>
      </w:rPr>
      <w:tcPr>
        <w:shd w:val="clear" w:color="DBE5F1" w:themeColor="accent1" w:themeTint="34" w:fill="DBE5F1" w:themeFill="accent1" w:themeFillTint="34"/>
      </w:tcPr>
    </w:tblStylePr>
  </w:style>
  <w:style w:type="table" w:customStyle="1" w:styleId="74">
    <w:name w:val="Grid Table 2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single" w:color="D99795" w:themeColor="accent2" w:themeTint="97" w:sz="12" w:space="0"/>
          <w:right w:val="nil"/>
        </w:tcBorders>
        <w:shd w:val="clear" w:color="FFFFFF" w:fill="auto"/>
      </w:tcPr>
    </w:tblStylePr>
    <w:tblStylePr w:type="lastRow">
      <w:rPr>
        <w:b/>
        <w:color w:val="404040"/>
      </w:rPr>
      <w:tcPr>
        <w:tcBorders>
          <w:top w:val="single" w:color="D99795" w:themeColor="accent2" w:themeTint="97"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75">
    <w:name w:val="Grid Table 2 - Accent 3"/>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single" w:color="9BBB59" w:themeColor="accent3" w:themeTint="FE" w:sz="12" w:space="0"/>
          <w:right w:val="nil"/>
        </w:tcBorders>
        <w:shd w:val="clear" w:color="FFFFFF" w:fill="auto"/>
      </w:tcPr>
    </w:tblStylePr>
    <w:tblStylePr w:type="lastRow">
      <w:rPr>
        <w:b/>
        <w:color w:val="404040"/>
      </w:rPr>
      <w:tcPr>
        <w:tcBorders>
          <w:top w:val="single" w:color="9BBB59" w:themeColor="accent3" w:themeTint="FE"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76">
    <w:name w:val="Grid Table 2 - Accent 4"/>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single" w:color="B2A1C6" w:themeColor="accent4" w:themeTint="9A" w:sz="12" w:space="0"/>
          <w:right w:val="nil"/>
        </w:tcBorders>
        <w:shd w:val="clear" w:color="FFFFFF" w:fill="auto"/>
      </w:tcPr>
    </w:tblStylePr>
    <w:tblStylePr w:type="lastRow">
      <w:rPr>
        <w:b/>
        <w:color w:val="404040"/>
      </w:rPr>
      <w:tcPr>
        <w:tcBorders>
          <w:top w:val="single" w:color="B2A1C6" w:themeColor="accent4" w:themeTint="9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77">
    <w:name w:val="Grid Table 2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single" w:color="4BACC6" w:themeColor="accent5" w:sz="12" w:space="0"/>
          <w:right w:val="nil"/>
        </w:tcBorders>
        <w:shd w:val="clear" w:color="FFFFFF" w:fill="auto"/>
      </w:tcPr>
    </w:tblStylePr>
    <w:tblStylePr w:type="lastRow">
      <w:rPr>
        <w:b/>
        <w:color w:val="404040"/>
      </w:rPr>
      <w:tcPr>
        <w:tcBorders>
          <w:top w:val="single" w:color="4BACC6" w:themeColor="accent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78">
    <w:name w:val="Grid Table 2 - Accent 6"/>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single" w:color="F79646" w:themeColor="accent6" w:sz="12" w:space="0"/>
          <w:right w:val="nil"/>
        </w:tcBorders>
        <w:shd w:val="clear" w:color="FFFFFF" w:fill="auto"/>
      </w:tcPr>
    </w:tblStylePr>
    <w:tblStylePr w:type="lastRow">
      <w:rPr>
        <w:b/>
        <w:color w:val="404040"/>
      </w:rPr>
      <w:tcPr>
        <w:tcBorders>
          <w:top w:val="single" w:color="F79646" w:themeColor="accent6"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79">
    <w:name w:val="Grid Table 3"/>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80">
    <w:name w:val="Grid Table 3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BE5F1" w:themeColor="accent1" w:themeTint="34" w:fill="DBE5F1" w:themeFill="accent1" w:themeFillTint="34"/>
      </w:tcPr>
    </w:tblStylePr>
    <w:tblStylePr w:type="band1Horz">
      <w:rPr>
        <w:rFonts w:ascii="Arial" w:hAnsi="Arial"/>
        <w:color w:val="404040"/>
        <w:sz w:val="22"/>
      </w:rPr>
      <w:tcPr>
        <w:shd w:val="clear" w:color="DBE5F1" w:themeColor="accent1" w:themeTint="34" w:fill="DBE5F1" w:themeFill="accent1" w:themeFillTint="34"/>
      </w:tcPr>
    </w:tblStylePr>
  </w:style>
  <w:style w:type="table" w:customStyle="1" w:styleId="81">
    <w:name w:val="Grid Table 3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82">
    <w:name w:val="Grid Table 3 - Accent 3"/>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83">
    <w:name w:val="Grid Table 3 - Accent 4"/>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84">
    <w:name w:val="Grid Table 3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85">
    <w:name w:val="Grid Table 3 - Accent 6"/>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86">
    <w:name w:val="Grid Table 4"/>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cPr>
        <w:tcBorders>
          <w:top w:val="single" w:color="000000" w:themeColor="text1"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87">
    <w:name w:val="Grid Table 4 - Accent 1"/>
    <w:qFormat/>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cPr>
        <w:tcBorders>
          <w:top w:val="single" w:color="5D8BC2" w:themeColor="accent1" w:themeTint="E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CE6F2" w:themeColor="accent1" w:themeTint="32" w:fill="DCE6F2" w:themeFill="accent1" w:themeFillTint="32"/>
      </w:tcPr>
    </w:tblStylePr>
    <w:tblStylePr w:type="band1Horz">
      <w:rPr>
        <w:rFonts w:ascii="Arial" w:hAnsi="Arial"/>
        <w:color w:val="404040"/>
        <w:sz w:val="22"/>
      </w:rPr>
      <w:tcPr>
        <w:shd w:val="clear" w:color="DCE6F2" w:themeColor="accent1" w:themeTint="32" w:fill="DCE6F2" w:themeFill="accent1" w:themeFillTint="32"/>
      </w:tcPr>
    </w:tblStylePr>
  </w:style>
  <w:style w:type="table" w:customStyle="1" w:styleId="88">
    <w:name w:val="Grid Table 4 - Accent 2"/>
    <w:qFormat/>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cPr>
        <w:tcBorders>
          <w:top w:val="single" w:color="D99795" w:themeColor="accent2" w:themeTint="97"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89">
    <w:name w:val="Grid Table 4 - Accent 3"/>
    <w:qFormat/>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cPr>
        <w:tcBorders>
          <w:top w:val="single" w:color="9BBB59" w:themeColor="accent3" w:themeTint="FE"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90">
    <w:name w:val="Grid Table 4 - Accent 4"/>
    <w:qFormat/>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cPr>
        <w:tcBorders>
          <w:top w:val="single" w:color="B2A1C6" w:themeColor="accent4" w:themeTint="9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91">
    <w:name w:val="Grid Table 4 - Accent 5"/>
    <w:qFormat/>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cPr>
        <w:tcBorders>
          <w:top w:val="single" w:color="4BACC6" w:themeColor="accent5"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92">
    <w:name w:val="Grid Table 4 - Accent 6"/>
    <w:qFormat/>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cPr>
        <w:tcBorders>
          <w:top w:val="single" w:color="F79646" w:themeColor="accent6"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93">
    <w:name w:val="Grid Table 5 Dark"/>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000000" w:themeColor="text1" w:fill="000000" w:themeFill="text1"/>
      </w:tcPr>
    </w:tblStylePr>
    <w:tblStylePr w:type="lastRow">
      <w:rPr>
        <w:rFonts w:ascii="Arial" w:hAnsi="Arial"/>
        <w:b/>
        <w:color w:val="FFFFFF"/>
        <w:sz w:val="22"/>
      </w:r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band1Vert">
      <w:tcPr>
        <w:shd w:val="clear" w:color="898989" w:themeColor="text1" w:themeTint="75" w:fill="898989" w:themeFill="text1" w:themeFillTint="75"/>
      </w:tcPr>
    </w:tblStylePr>
    <w:tblStylePr w:type="band1Horz">
      <w:tcPr>
        <w:shd w:val="clear" w:color="898989" w:themeColor="text1" w:themeTint="75" w:fill="898989" w:themeFill="text1" w:themeFillTint="75"/>
      </w:tcPr>
    </w:tblStylePr>
  </w:style>
  <w:style w:type="table" w:customStyle="1" w:styleId="94">
    <w:name w:val="Grid Table 5 Dark- Accent 1"/>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F81BD" w:themeColor="accent1" w:fill="4F81BD" w:themeFill="accent1"/>
      </w:tcPr>
    </w:tblStylePr>
    <w:tblStylePr w:type="lastRow">
      <w:rPr>
        <w:rFonts w:ascii="Arial" w:hAnsi="Arial"/>
        <w:b/>
        <w:color w:val="FFFFFF"/>
        <w:sz w:val="22"/>
      </w:r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cPr>
        <w:shd w:val="clear" w:color="4F81BD" w:themeColor="accent1" w:fill="4F81BD" w:themeFill="accent1"/>
      </w:tcPr>
    </w:tblStylePr>
    <w:tblStylePr w:type="lastCol">
      <w:rPr>
        <w:rFonts w:ascii="Arial" w:hAnsi="Arial"/>
        <w:b/>
        <w:color w:val="FFFFFF"/>
        <w:sz w:val="22"/>
      </w:rPr>
      <w:tcPr>
        <w:shd w:val="clear" w:color="4F81BD" w:themeColor="accent1" w:fill="4F81BD" w:themeFill="accent1"/>
      </w:tcPr>
    </w:tblStylePr>
    <w:tblStylePr w:type="band1Vert">
      <w:tcPr>
        <w:shd w:val="clear" w:color="AEC5E0" w:themeColor="accent1" w:themeTint="75" w:fill="AEC5E0" w:themeFill="accent1" w:themeFillTint="75"/>
      </w:tcPr>
    </w:tblStylePr>
    <w:tblStylePr w:type="band1Horz">
      <w:tcPr>
        <w:shd w:val="clear" w:color="AEC5E0" w:themeColor="accent1" w:themeTint="75" w:fill="AEC5E0" w:themeFill="accent1" w:themeFillTint="75"/>
      </w:tcPr>
    </w:tblStylePr>
  </w:style>
  <w:style w:type="table" w:customStyle="1" w:styleId="95">
    <w:name w:val="Grid Table 5 Dark - Accent 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C0504D" w:themeColor="accent2" w:fill="C0504D" w:themeFill="accent2"/>
      </w:tcPr>
    </w:tblStylePr>
    <w:tblStylePr w:type="lastRow">
      <w:rPr>
        <w:rFonts w:ascii="Arial" w:hAnsi="Arial"/>
        <w:b/>
        <w:color w:val="FFFFFF"/>
        <w:sz w:val="22"/>
      </w:r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cPr>
        <w:shd w:val="clear" w:color="C0504D" w:themeColor="accent2" w:fill="C0504D" w:themeFill="accent2"/>
      </w:tcPr>
    </w:tblStylePr>
    <w:tblStylePr w:type="lastCol">
      <w:rPr>
        <w:rFonts w:ascii="Arial" w:hAnsi="Arial"/>
        <w:b/>
        <w:color w:val="FFFFFF"/>
        <w:sz w:val="22"/>
      </w:rPr>
      <w:tcPr>
        <w:shd w:val="clear" w:color="C0504D" w:themeColor="accent2" w:fill="C0504D" w:themeFill="accent2"/>
      </w:tcPr>
    </w:tblStylePr>
    <w:tblStylePr w:type="band1Vert">
      <w:tcPr>
        <w:shd w:val="clear" w:color="E2AEAD" w:themeColor="accent2" w:themeTint="75" w:fill="E2AEAD" w:themeFill="accent2" w:themeFillTint="75"/>
      </w:tcPr>
    </w:tblStylePr>
    <w:tblStylePr w:type="band1Horz">
      <w:tcPr>
        <w:shd w:val="clear" w:color="E2AEAD" w:themeColor="accent2" w:themeTint="75" w:fill="E2AEAD" w:themeFill="accent2" w:themeFillTint="75"/>
      </w:tcPr>
    </w:tblStylePr>
  </w:style>
  <w:style w:type="table" w:customStyle="1" w:styleId="96">
    <w:name w:val="Grid Table 5 Dark - Accent 3"/>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9BBB59" w:themeColor="accent3" w:fill="9BBB59" w:themeFill="accent3"/>
      </w:tcPr>
    </w:tblStylePr>
    <w:tblStylePr w:type="lastRow">
      <w:rPr>
        <w:rFonts w:ascii="Arial" w:hAnsi="Arial"/>
        <w:b/>
        <w:color w:val="FFFFFF"/>
        <w:sz w:val="22"/>
      </w:r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cPr>
        <w:shd w:val="clear" w:color="9BBB59" w:themeColor="accent3" w:fill="9BBB59" w:themeFill="accent3"/>
      </w:tcPr>
    </w:tblStylePr>
    <w:tblStylePr w:type="lastCol">
      <w:rPr>
        <w:rFonts w:ascii="Arial" w:hAnsi="Arial"/>
        <w:b/>
        <w:color w:val="FFFFFF"/>
        <w:sz w:val="22"/>
      </w:rPr>
      <w:tcPr>
        <w:shd w:val="clear" w:color="9BBB59" w:themeColor="accent3" w:fill="9BBB59" w:themeFill="accent3"/>
      </w:tcPr>
    </w:tblStylePr>
    <w:tblStylePr w:type="band1Vert">
      <w:tcPr>
        <w:shd w:val="clear" w:color="D1DFB2" w:themeColor="accent3" w:themeTint="75" w:fill="D1DFB2" w:themeFill="accent3" w:themeFillTint="75"/>
      </w:tcPr>
    </w:tblStylePr>
    <w:tblStylePr w:type="band1Horz">
      <w:tcPr>
        <w:shd w:val="clear" w:color="D1DFB2" w:themeColor="accent3" w:themeTint="75" w:fill="D1DFB2" w:themeFill="accent3" w:themeFillTint="75"/>
      </w:tcPr>
    </w:tblStylePr>
  </w:style>
  <w:style w:type="table" w:customStyle="1" w:styleId="97">
    <w:name w:val="Grid Table 5 Dark- Accent 4"/>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8064A2" w:themeColor="accent4" w:fill="8064A2" w:themeFill="accent4"/>
      </w:tcPr>
    </w:tblStylePr>
    <w:tblStylePr w:type="lastRow">
      <w:rPr>
        <w:rFonts w:ascii="Arial" w:hAnsi="Arial"/>
        <w:b/>
        <w:color w:val="FFFFFF"/>
        <w:sz w:val="22"/>
      </w:r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cPr>
        <w:shd w:val="clear" w:color="8064A2" w:themeColor="accent4" w:fill="8064A2" w:themeFill="accent4"/>
      </w:tcPr>
    </w:tblStylePr>
    <w:tblStylePr w:type="lastCol">
      <w:rPr>
        <w:rFonts w:ascii="Arial" w:hAnsi="Arial"/>
        <w:b/>
        <w:color w:val="FFFFFF"/>
        <w:sz w:val="22"/>
      </w:rPr>
      <w:tcPr>
        <w:shd w:val="clear" w:color="8064A2" w:themeColor="accent4" w:fill="8064A2" w:themeFill="accent4"/>
      </w:tcPr>
    </w:tblStylePr>
    <w:tblStylePr w:type="band1Vert">
      <w:tcPr>
        <w:shd w:val="clear" w:color="C4B7D4" w:themeColor="accent4" w:themeTint="75" w:fill="C4B7D4" w:themeFill="accent4" w:themeFillTint="75"/>
      </w:tcPr>
    </w:tblStylePr>
    <w:tblStylePr w:type="band1Horz">
      <w:tcPr>
        <w:shd w:val="clear" w:color="C4B7D4" w:themeColor="accent4" w:themeTint="75" w:fill="C4B7D4" w:themeFill="accent4" w:themeFillTint="75"/>
      </w:tcPr>
    </w:tblStylePr>
  </w:style>
  <w:style w:type="table" w:customStyle="1" w:styleId="98">
    <w:name w:val="Grid Table 5 Dark - Accent 5"/>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BACC6" w:themeColor="accent5" w:fill="4BACC6" w:themeFill="accent5"/>
      </w:tcPr>
    </w:tblStylePr>
    <w:tblStylePr w:type="lastRow">
      <w:rPr>
        <w:rFonts w:ascii="Arial" w:hAnsi="Arial"/>
        <w:b/>
        <w:color w:val="FFFFFF"/>
        <w:sz w:val="22"/>
      </w:r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cPr>
        <w:shd w:val="clear" w:color="4BACC6" w:themeColor="accent5" w:fill="4BACC6" w:themeFill="accent5"/>
      </w:tcPr>
    </w:tblStylePr>
    <w:tblStylePr w:type="lastCol">
      <w:rPr>
        <w:rFonts w:ascii="Arial" w:hAnsi="Arial"/>
        <w:b/>
        <w:color w:val="FFFFFF"/>
        <w:sz w:val="22"/>
      </w:rPr>
      <w:tcPr>
        <w:shd w:val="clear" w:color="4BACC6" w:themeColor="accent5" w:fill="4BACC6" w:themeFill="accent5"/>
      </w:tcPr>
    </w:tblStylePr>
    <w:tblStylePr w:type="band1Vert">
      <w:tcPr>
        <w:shd w:val="clear" w:color="ACD8E4" w:themeColor="accent5" w:themeTint="75" w:fill="ACD8E4" w:themeFill="accent5" w:themeFillTint="75"/>
      </w:tcPr>
    </w:tblStylePr>
    <w:tblStylePr w:type="band1Horz">
      <w:tcPr>
        <w:shd w:val="clear" w:color="ACD8E4" w:themeColor="accent5" w:themeTint="75" w:fill="ACD8E4" w:themeFill="accent5" w:themeFillTint="75"/>
      </w:tcPr>
    </w:tblStylePr>
  </w:style>
  <w:style w:type="table" w:customStyle="1" w:styleId="99">
    <w:name w:val="Grid Table 5 Dark - Accent 6"/>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F79646" w:themeColor="accent6" w:fill="F79646" w:themeFill="accent6"/>
      </w:tcPr>
    </w:tblStylePr>
    <w:tblStylePr w:type="lastRow">
      <w:rPr>
        <w:rFonts w:ascii="Arial" w:hAnsi="Arial"/>
        <w:b/>
        <w:color w:val="FFFFFF"/>
        <w:sz w:val="22"/>
      </w:r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cPr>
        <w:shd w:val="clear" w:color="F79646" w:themeColor="accent6" w:fill="F79646" w:themeFill="accent6"/>
      </w:tcPr>
    </w:tblStylePr>
    <w:tblStylePr w:type="lastCol">
      <w:rPr>
        <w:rFonts w:ascii="Arial" w:hAnsi="Arial"/>
        <w:b/>
        <w:color w:val="FFFFFF"/>
        <w:sz w:val="22"/>
      </w:rPr>
      <w:tcPr>
        <w:shd w:val="clear" w:color="F79646" w:themeColor="accent6" w:fill="F79646" w:themeFill="accent6"/>
      </w:tcPr>
    </w:tblStylePr>
    <w:tblStylePr w:type="band1Vert">
      <w:tcPr>
        <w:shd w:val="clear" w:color="FBCEAA" w:themeColor="accent6" w:themeTint="75" w:fill="FBCEAA" w:themeFill="accent6" w:themeFillTint="75"/>
      </w:tcPr>
    </w:tblStylePr>
    <w:tblStylePr w:type="band1Horz">
      <w:tcPr>
        <w:shd w:val="clear" w:color="FBCEAA" w:themeColor="accent6" w:themeTint="75" w:fill="FBCEAA" w:themeFill="accent6" w:themeFillTint="75"/>
      </w:tcPr>
    </w:tblStylePr>
  </w:style>
  <w:style w:type="table" w:customStyle="1" w:styleId="100">
    <w:name w:val="Grid Table 6 Colorful"/>
    <w:qFormat/>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StylePr>
    <w:tblStylePr w:type="firstCol">
      <w:rPr>
        <w:b/>
        <w:color w:val="808080" w:themeColor="text1" w:themeTint="80"/>
        <w14:textFill>
          <w14:solidFill>
            <w14:schemeClr w14:val="tx1">
              <w14:lumMod w14:val="50000"/>
              <w14:lumOff w14:val="50000"/>
            </w14:schemeClr>
          </w14:solidFill>
        </w14:textFill>
      </w:rPr>
    </w:tblStylePr>
    <w:tblStylePr w:type="lastCol">
      <w:rPr>
        <w:b/>
        <w:color w:val="808080" w:themeColor="text1" w:themeTint="80"/>
        <w14:textFill>
          <w14:solidFill>
            <w14:schemeClr w14:val="tx1">
              <w14:lumMod w14:val="50000"/>
              <w14:lumOff w14:val="50000"/>
            </w14:schemeClr>
          </w14:solidFill>
        </w14:textFill>
      </w:rPr>
    </w:tblStylePr>
    <w:tblStylePr w:type="band1Vert">
      <w:tcPr>
        <w:shd w:val="clear" w:color="CACACA" w:themeColor="text1" w:themeTint="34" w:fill="CACACA" w:themeFill="text1" w:themeFillTint="34"/>
      </w:tcPr>
    </w:tblStylePr>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CACACA" w:themeColor="text1" w:themeTint="34"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style>
  <w:style w:type="table" w:customStyle="1" w:styleId="101">
    <w:name w:val="Grid Table 6 Colorful - Accent 1"/>
    <w:qFormat/>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7C0DE" w:themeColor="accent1" w:themeTint="80"/>
        <w14:textFill>
          <w14:solidFill>
            <w14:schemeClr w14:val="accent1">
              <w14:lumMod w14:val="50000"/>
              <w14:lumOff w14:val="50000"/>
            </w14:schemeClr>
          </w14:solidFill>
        </w14:textFill>
      </w:rPr>
      <w:tcPr>
        <w:tcBorders>
          <w:bottom w:val="single" w:color="A6BFDD" w:themeColor="accent1" w:themeTint="80" w:sz="12" w:space="0"/>
        </w:tcBorders>
      </w:tcPr>
    </w:tblStylePr>
    <w:tblStylePr w:type="lastRow">
      <w:rPr>
        <w:b/>
        <w:color w:val="A7C0DE" w:themeColor="accent1" w:themeTint="80"/>
        <w14:textFill>
          <w14:solidFill>
            <w14:schemeClr w14:val="accent1">
              <w14:lumMod w14:val="50000"/>
              <w14:lumOff w14:val="50000"/>
            </w14:schemeClr>
          </w14:solidFill>
        </w14:textFill>
      </w:rPr>
    </w:tblStylePr>
    <w:tblStylePr w:type="firstCol">
      <w:rPr>
        <w:b/>
        <w:color w:val="A7C0DE" w:themeColor="accent1" w:themeTint="80"/>
        <w14:textFill>
          <w14:solidFill>
            <w14:schemeClr w14:val="accent1">
              <w14:lumMod w14:val="50000"/>
              <w14:lumOff w14:val="50000"/>
            </w14:schemeClr>
          </w14:solidFill>
        </w14:textFill>
      </w:rPr>
    </w:tblStylePr>
    <w:tblStylePr w:type="lastCol">
      <w:rPr>
        <w:b/>
        <w:color w:val="A7C0DE" w:themeColor="accent1" w:themeTint="80"/>
        <w14:textFill>
          <w14:solidFill>
            <w14:schemeClr w14:val="accent1">
              <w14:lumMod w14:val="50000"/>
              <w14:lumOff w14:val="50000"/>
            </w14:schemeClr>
          </w14:solidFill>
        </w14:textFill>
      </w:rPr>
    </w:tblStylePr>
    <w:tblStylePr w:type="band1Vert">
      <w:tcPr>
        <w:shd w:val="clear" w:color="DBE5F1" w:themeColor="accent1" w:themeTint="34" w:fill="DBE5F1" w:themeFill="accent1" w:themeFillTint="34"/>
      </w:tc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style>
  <w:style w:type="table" w:customStyle="1" w:styleId="102">
    <w:name w:val="Grid Table 6 Colorful - Accent 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12" w:space="0"/>
        </w:tcBorders>
      </w:tcPr>
    </w:tblStylePr>
    <w:tblStylePr w:type="lastRow">
      <w:rPr>
        <w:b/>
        <w:color w:val="DA9896" w:themeColor="accent2" w:themeTint="96"/>
        <w14:textFill>
          <w14:solidFill>
            <w14:schemeClr w14:val="accent2">
              <w14:lumMod w14:val="59000"/>
              <w14:lumOff w14:val="41000"/>
            </w14:schemeClr>
          </w14:solidFill>
        </w14:textFill>
      </w:r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F2DCDC" w:themeColor="accent2" w:themeTint="32" w:fill="F2DCDC" w:themeFill="accent2" w:themeFillTint="32"/>
      </w:tc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style>
  <w:style w:type="table" w:customStyle="1" w:styleId="103">
    <w:name w:val="Grid Table 6 Colorful - Accent 3"/>
    <w:qFormat/>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Tint="FF"/>
        <w14:textFill>
          <w14:solidFill>
            <w14:schemeClr w14:val="accent3">
              <w14:lumMod w14:val="100000"/>
              <w14:lumOff w14:val="0"/>
            </w14:schemeClr>
          </w14:solidFill>
        </w14:textFill>
      </w:rPr>
      <w:tcPr>
        <w:tcBorders>
          <w:bottom w:val="single" w:color="9BBB59" w:themeColor="accent3" w:themeTint="FE" w:sz="12" w:space="0"/>
        </w:tcBorders>
      </w:tcPr>
    </w:tblStylePr>
    <w:tblStylePr w:type="lastRow">
      <w:rPr>
        <w:b/>
        <w:color w:val="9BBB59" w:themeColor="accent3" w:themeTint="FF"/>
        <w14:textFill>
          <w14:solidFill>
            <w14:schemeClr w14:val="accent3">
              <w14:lumMod w14:val="100000"/>
              <w14:lumOff w14:val="0"/>
            </w14:schemeClr>
          </w14:solidFill>
        </w14:textFill>
      </w:rPr>
    </w:tblStylePr>
    <w:tblStylePr w:type="firstCol">
      <w:rPr>
        <w:b/>
        <w:color w:val="9BBB59" w:themeColor="accent3" w:themeTint="FF"/>
        <w14:textFill>
          <w14:solidFill>
            <w14:schemeClr w14:val="accent3">
              <w14:lumMod w14:val="100000"/>
              <w14:lumOff w14:val="0"/>
            </w14:schemeClr>
          </w14:solidFill>
        </w14:textFill>
      </w:rPr>
    </w:tblStylePr>
    <w:tblStylePr w:type="lastCol">
      <w:rPr>
        <w:b/>
        <w:color w:val="9BBB59" w:themeColor="accent3" w:themeTint="FF"/>
        <w14:textFill>
          <w14:solidFill>
            <w14:schemeClr w14:val="accent3">
              <w14:lumMod w14:val="100000"/>
              <w14:lumOff w14:val="0"/>
            </w14:schemeClr>
          </w14:solidFill>
        </w14:textFill>
      </w:rPr>
    </w:tblStylePr>
    <w:tblStylePr w:type="band1Vert">
      <w:tcPr>
        <w:shd w:val="clear" w:color="EAF1DD" w:themeColor="accent3" w:themeTint="34" w:fill="EAF1DD" w:themeFill="accent3" w:themeFillTint="34"/>
      </w:tcPr>
    </w:tblStylePr>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style>
  <w:style w:type="table" w:customStyle="1" w:styleId="104">
    <w:name w:val="Grid Table 6 Colorful - Accent 4"/>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12" w:space="0"/>
        </w:tcBorders>
      </w:tcPr>
    </w:tblStylePr>
    <w:tblStylePr w:type="lastRow">
      <w:rPr>
        <w:b/>
        <w:color w:val="B3A2C7" w:themeColor="accent4" w:themeTint="99"/>
        <w14:textFill>
          <w14:solidFill>
            <w14:schemeClr w14:val="accent4">
              <w14:lumMod w14:val="60000"/>
              <w14:lumOff w14:val="40000"/>
            </w14:schemeClr>
          </w14:solidFill>
        </w14:textFill>
      </w:r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E5DFEC" w:themeColor="accent4" w:themeTint="34" w:fill="E5DFEC" w:themeFill="accent4" w:themeFillTint="34"/>
      </w:tc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style>
  <w:style w:type="table" w:customStyle="1" w:styleId="105">
    <w:name w:val="Grid Table 6 Colorful - Accent 5"/>
    <w:qFormat/>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8" w:themeColor="accent5" w:themeShade="94"/>
      </w:rPr>
      <w:tcPr>
        <w:tcBorders>
          <w:bottom w:val="single" w:color="4BACC6" w:themeColor="accent5"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DAEEF3" w:themeColor="accent5" w:themeTint="34" w:fill="DAEEF3" w:themeFill="accent5" w:themeFillTint="34"/>
      </w:tcPr>
    </w:tblStylePr>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style>
  <w:style w:type="table" w:customStyle="1" w:styleId="106">
    <w:name w:val="Grid Table 6 Colorful - Accent 6"/>
    <w:qFormat/>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8" w:themeColor="accent5" w:themeShade="94"/>
      </w:rPr>
      <w:tcPr>
        <w:tcBorders>
          <w:bottom w:val="single" w:color="F79646" w:themeColor="accent6"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FDE9D9" w:themeColor="accent6" w:themeTint="34" w:fill="FDE9D9" w:themeFill="accent6" w:themeFillTint="34"/>
      </w:tcPr>
    </w:tblStylePr>
    <w:tblStylePr w:type="band1Horz">
      <w:rPr>
        <w:rFonts w:ascii="Arial" w:hAnsi="Arial"/>
        <w:color w:val="266778" w:themeColor="accent5" w:themeShade="94"/>
        <w:sz w:val="22"/>
      </w:rPr>
      <w:tcPr>
        <w:shd w:val="clear" w:color="FDE9D9" w:themeColor="accent6" w:themeTint="34" w:fill="FDE9D9" w:themeFill="accent6" w:themeFillTint="34"/>
      </w:tcPr>
    </w:tblStylePr>
    <w:tblStylePr w:type="band2Horz">
      <w:rPr>
        <w:rFonts w:ascii="Arial" w:hAnsi="Arial"/>
        <w:color w:val="266778" w:themeColor="accent5" w:themeShade="94"/>
        <w:sz w:val="22"/>
      </w:rPr>
    </w:tblStylePr>
  </w:style>
  <w:style w:type="table" w:customStyle="1" w:styleId="107">
    <w:name w:val="Grid Table 7 Colorful"/>
    <w:qFormat/>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F1F1F1" w:themeColor="text1" w:themeTint="0D" w:fill="F1F1F1" w:themeFill="text1" w:themeFillTint="0D"/>
      </w:tcPr>
    </w:tblStylePr>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F1F1F1" w:themeColor="text1" w:themeTint="0D"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style>
  <w:style w:type="table" w:customStyle="1" w:styleId="108">
    <w:name w:val="Grid Table 7 Colorful - Accent 1"/>
    <w:qFormat/>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7C0DE" w:themeColor="accent1" w:themeTint="80"/>
        <w:sz w:val="22"/>
        <w14:textFill>
          <w14:solidFill>
            <w14:schemeClr w14:val="accent1">
              <w14:lumMod w14:val="50000"/>
              <w14:lumOff w14:val="50000"/>
            </w14:schemeClr>
          </w14:solidFill>
        </w14:textFill>
      </w:r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7C0DE" w:themeColor="accent1" w:themeTint="80"/>
        <w:sz w:val="22"/>
        <w14:textFill>
          <w14:solidFill>
            <w14:schemeClr w14:val="accent1">
              <w14:lumMod w14:val="50000"/>
              <w14:lumOff w14:val="50000"/>
            </w14:schemeClr>
          </w14:solidFill>
        </w14:textFill>
      </w:r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single" w:color="A6BFDD" w:themeColor="accent1" w:themeTint="80" w:sz="4" w:space="0"/>
          <w:bottom w:val="nil"/>
          <w:right w:val="nil"/>
        </w:tcBorders>
        <w:shd w:val="clear" w:color="FFFFFF" w:fill="auto"/>
      </w:tcPr>
    </w:tblStylePr>
    <w:tblStylePr w:type="band1Vert">
      <w:tcPr>
        <w:shd w:val="clear" w:color="DBE5F1" w:themeColor="accent1" w:themeTint="34" w:fill="DBE5F1" w:themeFill="accent1" w:themeFillTint="34"/>
      </w:tc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style>
  <w:style w:type="table" w:customStyle="1" w:styleId="109">
    <w:name w:val="Grid Table 7 Colorful - Accent 2"/>
    <w:qFormat/>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F2DCDC" w:themeColor="accent2" w:themeTint="32" w:fill="F2DCDC" w:themeFill="accent2" w:themeFillTint="32"/>
      </w:tc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style>
  <w:style w:type="table" w:customStyle="1" w:styleId="110">
    <w:name w:val="Grid Table 7 Colorful - Accent 3"/>
    <w:qFormat/>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Tint="FF"/>
        <w:sz w:val="22"/>
        <w14:textFill>
          <w14:solidFill>
            <w14:schemeClr w14:val="accent3">
              <w14:lumMod w14:val="100000"/>
              <w14:lumOff w14:val="0"/>
            </w14:schemeClr>
          </w14:solidFill>
        </w14:textFill>
      </w:r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Tint="FF"/>
        <w:sz w:val="22"/>
        <w14:textFill>
          <w14:solidFill>
            <w14:schemeClr w14:val="accent3">
              <w14:lumMod w14:val="100000"/>
              <w14:lumOff w14:val="0"/>
            </w14:schemeClr>
          </w14:solidFill>
        </w14:textFill>
      </w:r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Tint="FF"/>
        <w:sz w:val="22"/>
        <w14:textFill>
          <w14:solidFill>
            <w14:schemeClr w14:val="accent3">
              <w14:lumMod w14:val="100000"/>
              <w14:lumOff w14:val="0"/>
            </w14:schemeClr>
          </w14:solidFill>
        </w14:textFill>
      </w:r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Tint="FF"/>
        <w:sz w:val="22"/>
        <w14:textFill>
          <w14:solidFill>
            <w14:schemeClr w14:val="accent3">
              <w14:lumMod w14:val="100000"/>
              <w14:lumOff w14:val="0"/>
            </w14:schemeClr>
          </w14:solidFill>
        </w14:textFill>
      </w:rPr>
      <w:tcPr>
        <w:tcBorders>
          <w:top w:val="nil"/>
          <w:left w:val="single" w:color="9BBB59" w:themeColor="accent3" w:themeTint="FE" w:sz="4" w:space="0"/>
          <w:bottom w:val="nil"/>
          <w:right w:val="nil"/>
        </w:tcBorders>
        <w:shd w:val="clear" w:color="FFFFFF" w:fill="auto"/>
      </w:tcPr>
    </w:tblStylePr>
    <w:tblStylePr w:type="band1Vert">
      <w:tcPr>
        <w:shd w:val="clear" w:color="EAF1DD" w:themeColor="accent3" w:themeTint="34" w:fill="EAF1DD" w:themeFill="accent3" w:themeFillTint="34"/>
      </w:tcPr>
    </w:tblStylePr>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style>
  <w:style w:type="table" w:customStyle="1" w:styleId="111">
    <w:name w:val="Grid Table 7 Colorful - Accent 4"/>
    <w:qFormat/>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E5DFEC" w:themeColor="accent4" w:themeTint="34" w:fill="E5DFEC" w:themeFill="accent4" w:themeFillTint="34"/>
      </w:tc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style>
  <w:style w:type="table" w:customStyle="1" w:styleId="112">
    <w:name w:val="Grid Table 7 Colorful - Accent 5"/>
    <w:qFormat/>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8" w:themeColor="accent5" w:themeShade="94"/>
        <w:sz w:val="22"/>
      </w:r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8" w:themeColor="accent5" w:themeShade="94"/>
        <w:sz w:val="22"/>
      </w:r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8" w:themeColor="accent5" w:themeShade="94"/>
        <w:sz w:val="22"/>
      </w:r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8" w:themeColor="accent5" w:themeShade="94"/>
        <w:sz w:val="22"/>
      </w:rPr>
      <w:tcPr>
        <w:tcBorders>
          <w:top w:val="nil"/>
          <w:left w:val="single" w:color="99D0DE" w:themeColor="accent5" w:themeTint="90" w:sz="4" w:space="0"/>
          <w:bottom w:val="nil"/>
          <w:right w:val="nil"/>
        </w:tcBorders>
        <w:shd w:val="clear" w:color="FFFFFF" w:fill="auto"/>
      </w:tcPr>
    </w:tblStylePr>
    <w:tblStylePr w:type="band1Vert">
      <w:tcPr>
        <w:shd w:val="clear" w:color="DAEEF3" w:themeColor="accent5" w:themeTint="34" w:fill="DAEEF3" w:themeFill="accent5" w:themeFillTint="34"/>
      </w:tcPr>
    </w:tblStylePr>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style>
  <w:style w:type="table" w:customStyle="1" w:styleId="113">
    <w:name w:val="Grid Table 7 Colorful - Accent 6"/>
    <w:qFormat/>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05408" w:themeColor="accent6" w:themeShade="94"/>
        <w:sz w:val="22"/>
      </w:r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05408" w:themeColor="accent6" w:themeShade="94"/>
        <w:sz w:val="22"/>
      </w:r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05408" w:themeColor="accent6" w:themeShade="94"/>
        <w:sz w:val="22"/>
      </w:r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05408" w:themeColor="accent6" w:themeShade="94"/>
        <w:sz w:val="22"/>
      </w:rPr>
      <w:tcPr>
        <w:tcBorders>
          <w:top w:val="nil"/>
          <w:left w:val="single" w:color="FAC396" w:themeColor="accent6" w:themeTint="90" w:sz="4" w:space="0"/>
          <w:bottom w:val="nil"/>
          <w:right w:val="nil"/>
        </w:tcBorders>
        <w:shd w:val="clear" w:color="FFFFFF" w:fill="auto"/>
      </w:tcPr>
    </w:tblStylePr>
    <w:tblStylePr w:type="band1Vert">
      <w:tcPr>
        <w:shd w:val="clear" w:color="FDE9D9" w:themeColor="accent6" w:themeTint="34" w:fill="FDE9D9" w:themeFill="accent6" w:themeFillTint="34"/>
      </w:tcPr>
    </w:tblStylePr>
    <w:tblStylePr w:type="band1Horz">
      <w:rPr>
        <w:rFonts w:ascii="Arial" w:hAnsi="Arial"/>
        <w:color w:val="B05408" w:themeColor="accent6" w:themeShade="94"/>
        <w:sz w:val="22"/>
      </w:rPr>
      <w:tcPr>
        <w:shd w:val="clear" w:color="FDE9D9" w:themeColor="accent6" w:themeTint="34" w:fill="FDE9D9" w:themeFill="accent6" w:themeFillTint="34"/>
      </w:tcPr>
    </w:tblStylePr>
    <w:tblStylePr w:type="band2Horz">
      <w:rPr>
        <w:rFonts w:ascii="Arial" w:hAnsi="Arial"/>
        <w:color w:val="B05408" w:themeColor="accent6" w:themeShade="94"/>
        <w:sz w:val="22"/>
      </w:rPr>
    </w:tblStylePr>
  </w:style>
  <w:style w:type="table" w:customStyle="1" w:styleId="114">
    <w:name w:val="List Table 1 Light"/>
    <w:qFormat/>
    <w:uiPriority w:val="99"/>
    <w:pPr>
      <w:spacing w:after="0" w:line="240" w:lineRule="auto"/>
    </w:pPr>
    <w:tblStylePr w:type="firstRow">
      <w:rPr>
        <w:b/>
        <w:color w:val="404040"/>
      </w:rPr>
      <w:tcPr>
        <w:tcBorders>
          <w:top w:val="nil"/>
          <w:left w:val="nil"/>
          <w:bottom w:val="single" w:color="000000" w:themeColor="text1" w:sz="4" w:space="0"/>
          <w:right w:val="nil"/>
        </w:tcBorders>
      </w:tcPr>
    </w:tblStylePr>
    <w:tblStylePr w:type="lastRow">
      <w:rPr>
        <w:b/>
        <w:color w:val="404040"/>
      </w:rPr>
      <w:tcPr>
        <w:tcBorders>
          <w:top w:val="single" w:color="000000" w:themeColor="tex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BEBEBE" w:themeColor="text1" w:themeTint="40" w:fill="BEBEBE" w:themeFill="text1" w:themeFillTint="40"/>
      </w:tcPr>
    </w:tblStylePr>
    <w:tblStylePr w:type="band1Horz">
      <w:tcPr>
        <w:shd w:val="clear" w:color="BEBEBE" w:themeColor="text1" w:themeTint="40" w:fill="BEBEBE" w:themeFill="text1" w:themeFillTint="40"/>
      </w:tcPr>
    </w:tblStylePr>
  </w:style>
  <w:style w:type="table" w:customStyle="1" w:styleId="115">
    <w:name w:val="List Table 1 Light - Accent 1"/>
    <w:qFormat/>
    <w:uiPriority w:val="99"/>
    <w:pPr>
      <w:spacing w:after="0" w:line="240" w:lineRule="auto"/>
    </w:pPr>
    <w:tblStylePr w:type="firstRow">
      <w:rPr>
        <w:b/>
        <w:color w:val="404040"/>
      </w:rPr>
      <w:tcPr>
        <w:tcBorders>
          <w:top w:val="nil"/>
          <w:left w:val="nil"/>
          <w:bottom w:val="single" w:color="4F81BD" w:themeColor="accent1" w:sz="4" w:space="0"/>
          <w:right w:val="nil"/>
        </w:tcBorders>
      </w:tcPr>
    </w:tblStylePr>
    <w:tblStylePr w:type="lastRow">
      <w:rPr>
        <w:b/>
        <w:color w:val="404040"/>
      </w:rPr>
      <w:tcPr>
        <w:tcBorders>
          <w:top w:val="single" w:color="4F81BD" w:themeColor="accen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2DFEE" w:themeColor="accent1" w:themeTint="40" w:fill="D2DFEE" w:themeFill="accent1" w:themeFillTint="40"/>
      </w:tcPr>
    </w:tblStylePr>
    <w:tblStylePr w:type="band1Horz">
      <w:tcPr>
        <w:shd w:val="clear" w:color="D2DFEE" w:themeColor="accent1" w:themeTint="40" w:fill="D2DFEE" w:themeFill="accent1" w:themeFillTint="40"/>
      </w:tcPr>
    </w:tblStylePr>
  </w:style>
  <w:style w:type="table" w:customStyle="1" w:styleId="116">
    <w:name w:val="List Table 1 Light - Accent 2"/>
    <w:qFormat/>
    <w:uiPriority w:val="99"/>
    <w:pPr>
      <w:spacing w:after="0" w:line="240" w:lineRule="auto"/>
    </w:pPr>
    <w:tblStylePr w:type="firstRow">
      <w:rPr>
        <w:b/>
        <w:color w:val="404040"/>
      </w:rPr>
      <w:tcPr>
        <w:tcBorders>
          <w:top w:val="nil"/>
          <w:left w:val="nil"/>
          <w:bottom w:val="single" w:color="C0504D" w:themeColor="accent2" w:sz="4" w:space="0"/>
          <w:right w:val="nil"/>
        </w:tcBorders>
      </w:tcPr>
    </w:tblStylePr>
    <w:tblStylePr w:type="lastRow">
      <w:rPr>
        <w:b/>
        <w:color w:val="404040"/>
      </w:rPr>
      <w:tcPr>
        <w:tcBorders>
          <w:top w:val="single" w:color="C0504D" w:themeColor="accent2"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FD3D2" w:themeColor="accent2" w:themeTint="40" w:fill="EFD3D2" w:themeFill="accent2" w:themeFillTint="40"/>
      </w:tcPr>
    </w:tblStylePr>
    <w:tblStylePr w:type="band1Horz">
      <w:tcPr>
        <w:shd w:val="clear" w:color="EFD3D2" w:themeColor="accent2" w:themeTint="40" w:fill="EFD3D2" w:themeFill="accent2" w:themeFillTint="40"/>
      </w:tcPr>
    </w:tblStylePr>
  </w:style>
  <w:style w:type="table" w:customStyle="1" w:styleId="117">
    <w:name w:val="List Table 1 Light - Accent 3"/>
    <w:qFormat/>
    <w:uiPriority w:val="99"/>
    <w:pPr>
      <w:spacing w:after="0" w:line="240" w:lineRule="auto"/>
    </w:pPr>
    <w:tblStylePr w:type="firstRow">
      <w:rPr>
        <w:b/>
        <w:color w:val="404040"/>
      </w:rPr>
      <w:tcPr>
        <w:tcBorders>
          <w:top w:val="nil"/>
          <w:left w:val="nil"/>
          <w:bottom w:val="single" w:color="9BBB59" w:themeColor="accent3" w:sz="4" w:space="0"/>
          <w:right w:val="nil"/>
        </w:tcBorders>
      </w:tcPr>
    </w:tblStylePr>
    <w:tblStylePr w:type="lastRow">
      <w:rPr>
        <w:b/>
        <w:color w:val="404040"/>
      </w:rPr>
      <w:tcPr>
        <w:tcBorders>
          <w:top w:val="single" w:color="9BBB59" w:themeColor="accent3"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5EDD5" w:themeColor="accent3" w:themeTint="40" w:fill="E5EDD5" w:themeFill="accent3" w:themeFillTint="40"/>
      </w:tcPr>
    </w:tblStylePr>
    <w:tblStylePr w:type="band1Horz">
      <w:tcPr>
        <w:shd w:val="clear" w:color="E5EDD5" w:themeColor="accent3" w:themeTint="40" w:fill="E5EDD5" w:themeFill="accent3" w:themeFillTint="40"/>
      </w:tcPr>
    </w:tblStylePr>
  </w:style>
  <w:style w:type="table" w:customStyle="1" w:styleId="118">
    <w:name w:val="List Table 1 Light - Accent 4"/>
    <w:qFormat/>
    <w:uiPriority w:val="99"/>
    <w:pPr>
      <w:spacing w:after="0" w:line="240" w:lineRule="auto"/>
    </w:pPr>
    <w:tblStylePr w:type="firstRow">
      <w:rPr>
        <w:b/>
        <w:color w:val="404040"/>
      </w:rPr>
      <w:tcPr>
        <w:tcBorders>
          <w:top w:val="nil"/>
          <w:left w:val="nil"/>
          <w:bottom w:val="single" w:color="8064A2" w:themeColor="accent4" w:sz="4" w:space="0"/>
          <w:right w:val="nil"/>
        </w:tcBorders>
      </w:tcPr>
    </w:tblStylePr>
    <w:tblStylePr w:type="lastRow">
      <w:rPr>
        <w:b/>
        <w:color w:val="404040"/>
      </w:rPr>
      <w:tcPr>
        <w:tcBorders>
          <w:top w:val="single" w:color="8064A2" w:themeColor="accent4"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FD8E7" w:themeColor="accent4" w:themeTint="40" w:fill="DFD8E7" w:themeFill="accent4" w:themeFillTint="40"/>
      </w:tcPr>
    </w:tblStylePr>
    <w:tblStylePr w:type="band1Horz">
      <w:tcPr>
        <w:shd w:val="clear" w:color="DFD8E7" w:themeColor="accent4" w:themeTint="40" w:fill="DFD8E7" w:themeFill="accent4" w:themeFillTint="40"/>
      </w:tcPr>
    </w:tblStylePr>
  </w:style>
  <w:style w:type="table" w:customStyle="1" w:styleId="119">
    <w:name w:val="List Table 1 Light - Accent 5"/>
    <w:qFormat/>
    <w:uiPriority w:val="99"/>
    <w:pPr>
      <w:spacing w:after="0" w:line="240" w:lineRule="auto"/>
    </w:pPr>
    <w:tblStylePr w:type="firstRow">
      <w:rPr>
        <w:b/>
        <w:color w:val="404040"/>
      </w:rPr>
      <w:tcPr>
        <w:tcBorders>
          <w:top w:val="nil"/>
          <w:left w:val="nil"/>
          <w:bottom w:val="single" w:color="4BACC6" w:themeColor="accent5" w:sz="4" w:space="0"/>
          <w:right w:val="nil"/>
        </w:tcBorders>
      </w:tcPr>
    </w:tblStylePr>
    <w:tblStylePr w:type="lastRow">
      <w:rPr>
        <w:b/>
        <w:color w:val="404040"/>
      </w:rPr>
      <w:tcPr>
        <w:tcBorders>
          <w:top w:val="single" w:color="4BACC6" w:themeColor="accent5"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1EAF0" w:themeColor="accent5" w:themeTint="40" w:fill="D1EAF0" w:themeFill="accent5" w:themeFillTint="40"/>
      </w:tcPr>
    </w:tblStylePr>
    <w:tblStylePr w:type="band1Horz">
      <w:tcPr>
        <w:shd w:val="clear" w:color="D1EAF0" w:themeColor="accent5" w:themeTint="40" w:fill="D1EAF0" w:themeFill="accent5" w:themeFillTint="40"/>
      </w:tcPr>
    </w:tblStylePr>
  </w:style>
  <w:style w:type="table" w:customStyle="1" w:styleId="120">
    <w:name w:val="List Table 1 Light - Accent 6"/>
    <w:qFormat/>
    <w:uiPriority w:val="99"/>
    <w:pPr>
      <w:spacing w:after="0" w:line="240" w:lineRule="auto"/>
    </w:pPr>
    <w:tblStylePr w:type="firstRow">
      <w:rPr>
        <w:b/>
        <w:color w:val="404040"/>
      </w:rPr>
      <w:tcPr>
        <w:tcBorders>
          <w:top w:val="nil"/>
          <w:left w:val="nil"/>
          <w:bottom w:val="single" w:color="F79646" w:themeColor="accent6" w:sz="4" w:space="0"/>
          <w:right w:val="nil"/>
        </w:tcBorders>
      </w:tcPr>
    </w:tblStylePr>
    <w:tblStylePr w:type="lastRow">
      <w:rPr>
        <w:b/>
        <w:color w:val="404040"/>
      </w:rPr>
      <w:tcPr>
        <w:tcBorders>
          <w:top w:val="single" w:color="F79646" w:themeColor="accent6"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CE4D0" w:themeColor="accent6" w:themeTint="40" w:fill="FCE4D0" w:themeFill="accent6" w:themeFillTint="40"/>
      </w:tcPr>
    </w:tblStylePr>
    <w:tblStylePr w:type="band1Horz">
      <w:tcPr>
        <w:shd w:val="clear" w:color="FCE4D0" w:themeColor="accent6" w:themeTint="40" w:fill="FCE4D0" w:themeFill="accent6" w:themeFillTint="40"/>
      </w:tcPr>
    </w:tblStylePr>
  </w:style>
  <w:style w:type="table" w:customStyle="1" w:styleId="121">
    <w:name w:val="List Table 2"/>
    <w:qFormat/>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BEBEBE" w:themeColor="text1" w:themeTint="40" w:fill="BEBEBE" w:themeFill="text1" w:themeFillTint="40"/>
      </w:tcPr>
    </w:tblStylePr>
    <w:tblStylePr w:type="band1Horz">
      <w:rPr>
        <w:rFonts w:ascii="Arial" w:hAnsi="Arial"/>
        <w:color w:val="404040"/>
        <w:sz w:val="22"/>
      </w:rPr>
      <w:tcPr>
        <w:shd w:val="clear" w:color="BEBEBE" w:themeColor="text1" w:themeTint="40" w:fill="BEBEBE" w:themeFill="text1" w:themeFillTint="40"/>
      </w:tcPr>
    </w:tblStylePr>
  </w:style>
  <w:style w:type="table" w:customStyle="1" w:styleId="122">
    <w:name w:val="List Table 2 - Accent 1"/>
    <w:qFormat/>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2DFEE" w:themeColor="accent1" w:themeTint="40" w:fill="D2DFEE" w:themeFill="accent1" w:themeFillTint="40"/>
      </w:tcPr>
    </w:tblStylePr>
    <w:tblStylePr w:type="band1Horz">
      <w:rPr>
        <w:rFonts w:ascii="Arial" w:hAnsi="Arial"/>
        <w:color w:val="404040"/>
        <w:sz w:val="22"/>
      </w:rPr>
      <w:tcPr>
        <w:shd w:val="clear" w:color="D2DFEE" w:themeColor="accent1" w:themeTint="40" w:fill="D2DFEE" w:themeFill="accent1" w:themeFillTint="40"/>
      </w:tcPr>
    </w:tblStylePr>
  </w:style>
  <w:style w:type="table" w:customStyle="1" w:styleId="123">
    <w:name w:val="List Table 2 - Accent 2"/>
    <w:qFormat/>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FD3D2" w:themeColor="accent2" w:themeTint="40" w:fill="EFD3D2" w:themeFill="accent2" w:themeFillTint="40"/>
      </w:tcPr>
    </w:tblStylePr>
    <w:tblStylePr w:type="band1Horz">
      <w:rPr>
        <w:rFonts w:ascii="Arial" w:hAnsi="Arial"/>
        <w:color w:val="404040"/>
        <w:sz w:val="22"/>
      </w:rPr>
      <w:tcPr>
        <w:shd w:val="clear" w:color="EFD3D2" w:themeColor="accent2" w:themeTint="40" w:fill="EFD3D2" w:themeFill="accent2" w:themeFillTint="40"/>
      </w:tcPr>
    </w:tblStylePr>
  </w:style>
  <w:style w:type="table" w:customStyle="1" w:styleId="124">
    <w:name w:val="List Table 2 - Accent 3"/>
    <w:qFormat/>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5EDD5" w:themeColor="accent3" w:themeTint="40" w:fill="E5EDD5" w:themeFill="accent3" w:themeFillTint="40"/>
      </w:tcPr>
    </w:tblStylePr>
    <w:tblStylePr w:type="band1Horz">
      <w:rPr>
        <w:rFonts w:ascii="Arial" w:hAnsi="Arial"/>
        <w:color w:val="404040"/>
        <w:sz w:val="22"/>
      </w:rPr>
      <w:tcPr>
        <w:shd w:val="clear" w:color="E5EDD5" w:themeColor="accent3" w:themeTint="40" w:fill="E5EDD5" w:themeFill="accent3" w:themeFillTint="40"/>
      </w:tcPr>
    </w:tblStylePr>
  </w:style>
  <w:style w:type="table" w:customStyle="1" w:styleId="125">
    <w:name w:val="List Table 2 - Accent 4"/>
    <w:qFormat/>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FD8E7" w:themeColor="accent4" w:themeTint="40" w:fill="DFD8E7" w:themeFill="accent4" w:themeFillTint="40"/>
      </w:tcPr>
    </w:tblStylePr>
    <w:tblStylePr w:type="band1Horz">
      <w:rPr>
        <w:rFonts w:ascii="Arial" w:hAnsi="Arial"/>
        <w:color w:val="404040"/>
        <w:sz w:val="22"/>
      </w:rPr>
      <w:tcPr>
        <w:shd w:val="clear" w:color="DFD8E7" w:themeColor="accent4" w:themeTint="40" w:fill="DFD8E7" w:themeFill="accent4" w:themeFillTint="40"/>
      </w:tcPr>
    </w:tblStylePr>
  </w:style>
  <w:style w:type="table" w:customStyle="1" w:styleId="126">
    <w:name w:val="List Table 2 - Accent 5"/>
    <w:qFormat/>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1EAF0" w:themeColor="accent5" w:themeTint="40" w:fill="D1EAF0" w:themeFill="accent5" w:themeFillTint="40"/>
      </w:tcPr>
    </w:tblStylePr>
    <w:tblStylePr w:type="band1Horz">
      <w:rPr>
        <w:rFonts w:ascii="Arial" w:hAnsi="Arial"/>
        <w:color w:val="404040"/>
        <w:sz w:val="22"/>
      </w:rPr>
      <w:tcPr>
        <w:shd w:val="clear" w:color="D1EAF0" w:themeColor="accent5" w:themeTint="40" w:fill="D1EAF0" w:themeFill="accent5" w:themeFillTint="40"/>
      </w:tcPr>
    </w:tblStylePr>
  </w:style>
  <w:style w:type="table" w:customStyle="1" w:styleId="127">
    <w:name w:val="List Table 2 - Accent 6"/>
    <w:qFormat/>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CE4D0" w:themeColor="accent6" w:themeTint="40" w:fill="FCE4D0" w:themeFill="accent6" w:themeFillTint="40"/>
      </w:tcPr>
    </w:tblStylePr>
    <w:tblStylePr w:type="band1Horz">
      <w:rPr>
        <w:rFonts w:ascii="Arial" w:hAnsi="Arial"/>
        <w:color w:val="404040"/>
        <w:sz w:val="22"/>
      </w:rPr>
      <w:tcPr>
        <w:shd w:val="clear" w:color="FCE4D0" w:themeColor="accent6" w:themeTint="40" w:fill="FCE4D0" w:themeFill="accent6" w:themeFillTint="40"/>
      </w:tcPr>
    </w:tblStylePr>
  </w:style>
  <w:style w:type="table" w:customStyle="1" w:styleId="128">
    <w:name w:val="List Table 3"/>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band1Horz">
      <w:rPr>
        <w:rFonts w:ascii="Arial" w:hAnsi="Arial"/>
        <w:color w:val="404040"/>
        <w:sz w:val="22"/>
      </w:rPr>
      <w:tcPr>
        <w:tcBorders>
          <w:top w:val="single" w:color="000000" w:themeColor="text1" w:sz="4" w:space="0"/>
          <w:bottom w:val="single" w:color="000000" w:themeColor="text1" w:sz="4" w:space="0"/>
        </w:tcBorders>
      </w:tcPr>
    </w:tblStylePr>
  </w:style>
  <w:style w:type="table" w:customStyle="1" w:styleId="129">
    <w:name w:val="List Table 3 - Accent 1"/>
    <w:qFormat/>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4F81BD" w:themeColor="accent1" w:sz="4" w:space="0"/>
          <w:right w:val="single" w:color="4F81BD" w:themeColor="accent1" w:sz="4" w:space="0"/>
        </w:tcBorders>
      </w:tcPr>
    </w:tblStylePr>
    <w:tblStylePr w:type="band1Horz">
      <w:rPr>
        <w:rFonts w:ascii="Arial" w:hAnsi="Arial"/>
        <w:color w:val="404040"/>
        <w:sz w:val="22"/>
      </w:rPr>
      <w:tcPr>
        <w:tcBorders>
          <w:top w:val="single" w:color="4F81BD" w:themeColor="accent1" w:sz="4" w:space="0"/>
          <w:bottom w:val="single" w:color="4F81BD" w:themeColor="accent1" w:sz="4" w:space="0"/>
        </w:tcBorders>
      </w:tcPr>
    </w:tblStylePr>
  </w:style>
  <w:style w:type="table" w:customStyle="1" w:styleId="130">
    <w:name w:val="List Table 3 - Accent 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cPr>
        <w:shd w:val="clear" w:color="D99795" w:themeColor="accent2" w:themeTint="97" w:fill="D997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D99795" w:themeColor="accent2" w:themeTint="97" w:sz="4" w:space="0"/>
          <w:right w:val="single" w:color="D99795" w:themeColor="accent2" w:themeTint="97" w:sz="4" w:space="0"/>
        </w:tcBorders>
      </w:tcPr>
    </w:tblStylePr>
    <w:tblStylePr w:type="band1Horz">
      <w:rPr>
        <w:rFonts w:ascii="Arial" w:hAnsi="Arial"/>
        <w:color w:val="404040"/>
        <w:sz w:val="22"/>
      </w:rPr>
      <w:tcPr>
        <w:tcBorders>
          <w:top w:val="single" w:color="D99795" w:themeColor="accent2" w:themeTint="97" w:sz="4" w:space="0"/>
          <w:bottom w:val="single" w:color="D99795" w:themeColor="accent2" w:themeTint="97" w:sz="4" w:space="0"/>
        </w:tcBorders>
      </w:tcPr>
    </w:tblStylePr>
  </w:style>
  <w:style w:type="table" w:customStyle="1" w:styleId="131">
    <w:name w:val="List Table 3 - Accent 3"/>
    <w:qFormat/>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cPr>
        <w:shd w:val="clear" w:color="C3D69C" w:themeColor="accent3" w:themeTint="98" w:fill="C3D69C"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C3D69C" w:themeColor="accent3" w:themeTint="98" w:sz="4" w:space="0"/>
          <w:right w:val="single" w:color="C3D69C" w:themeColor="accent3" w:themeTint="98" w:sz="4" w:space="0"/>
        </w:tcBorders>
      </w:tcPr>
    </w:tblStylePr>
    <w:tblStylePr w:type="band1Horz">
      <w:rPr>
        <w:rFonts w:ascii="Arial" w:hAnsi="Arial"/>
        <w:color w:val="404040"/>
        <w:sz w:val="22"/>
      </w:rPr>
      <w:tcPr>
        <w:tcBorders>
          <w:top w:val="single" w:color="C3D69C" w:themeColor="accent3" w:themeTint="98" w:sz="4" w:space="0"/>
          <w:bottom w:val="single" w:color="C3D69C" w:themeColor="accent3" w:themeTint="98" w:sz="4" w:space="0"/>
        </w:tcBorders>
      </w:tcPr>
    </w:tblStylePr>
  </w:style>
  <w:style w:type="table" w:customStyle="1" w:styleId="132">
    <w:name w:val="List Table 3 - Accent 4"/>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B2A1C6" w:themeColor="accent4" w:themeTint="9A" w:sz="4" w:space="0"/>
          <w:right w:val="single" w:color="B2A1C6" w:themeColor="accent4" w:themeTint="9A" w:sz="4" w:space="0"/>
        </w:tcBorders>
      </w:tcPr>
    </w:tblStylePr>
    <w:tblStylePr w:type="band1Horz">
      <w:rPr>
        <w:rFonts w:ascii="Arial" w:hAnsi="Arial"/>
        <w:color w:val="404040"/>
        <w:sz w:val="22"/>
      </w:rPr>
      <w:tcPr>
        <w:tcBorders>
          <w:top w:val="single" w:color="B2A1C6" w:themeColor="accent4" w:themeTint="9A" w:sz="4" w:space="0"/>
          <w:bottom w:val="single" w:color="B2A1C6" w:themeColor="accent4" w:themeTint="9A" w:sz="4" w:space="0"/>
        </w:tcBorders>
      </w:tcPr>
    </w:tblStylePr>
  </w:style>
  <w:style w:type="table" w:customStyle="1" w:styleId="133">
    <w:name w:val="List Table 3 - Accent 5"/>
    <w:qFormat/>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92CCDC" w:themeColor="accent5" w:themeTint="9A" w:sz="4" w:space="0"/>
          <w:right w:val="single" w:color="92CCDC" w:themeColor="accent5" w:themeTint="9A" w:sz="4" w:space="0"/>
        </w:tcBorders>
      </w:tcPr>
    </w:tblStylePr>
    <w:tblStylePr w:type="band1Horz">
      <w:rPr>
        <w:rFonts w:ascii="Arial" w:hAnsi="Arial"/>
        <w:color w:val="404040"/>
        <w:sz w:val="22"/>
      </w:rPr>
      <w:tcPr>
        <w:tcBorders>
          <w:top w:val="single" w:color="92CCDC" w:themeColor="accent5" w:themeTint="9A" w:sz="4" w:space="0"/>
          <w:bottom w:val="single" w:color="92CCDC" w:themeColor="accent5" w:themeTint="9A" w:sz="4" w:space="0"/>
        </w:tcBorders>
      </w:tcPr>
    </w:tblStylePr>
  </w:style>
  <w:style w:type="table" w:customStyle="1" w:styleId="134">
    <w:name w:val="List Table 3 - Accent 6"/>
    <w:qFormat/>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AC090" w:themeColor="accent6" w:themeTint="98" w:sz="4" w:space="0"/>
          <w:right w:val="single" w:color="FAC090" w:themeColor="accent6" w:themeTint="98" w:sz="4" w:space="0"/>
        </w:tcBorders>
      </w:tcPr>
    </w:tblStylePr>
    <w:tblStylePr w:type="band1Horz">
      <w:rPr>
        <w:rFonts w:ascii="Arial" w:hAnsi="Arial"/>
        <w:color w:val="404040"/>
        <w:sz w:val="22"/>
      </w:rPr>
      <w:tcPr>
        <w:tcBorders>
          <w:top w:val="single" w:color="FAC090" w:themeColor="accent6" w:themeTint="98" w:sz="4" w:space="0"/>
          <w:bottom w:val="single" w:color="FAC090" w:themeColor="accent6" w:themeTint="98" w:sz="4" w:space="0"/>
        </w:tcBorders>
      </w:tcPr>
    </w:tblStylePr>
  </w:style>
  <w:style w:type="table" w:customStyle="1" w:styleId="135">
    <w:name w:val="List Table 4"/>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BEBEBE" w:themeColor="text1" w:themeTint="40" w:fill="BEBEBE" w:themeFill="text1" w:themeFillTint="40"/>
      </w:tcPr>
    </w:tblStylePr>
    <w:tblStylePr w:type="band1Horz">
      <w:rPr>
        <w:rFonts w:ascii="Arial" w:hAnsi="Arial"/>
        <w:color w:val="404040"/>
        <w:sz w:val="22"/>
      </w:rPr>
      <w:tcPr>
        <w:shd w:val="clear" w:color="BEBEBE" w:themeColor="text1" w:themeTint="40" w:fill="BEBEBE" w:themeFill="text1" w:themeFillTint="40"/>
      </w:tcPr>
    </w:tblStylePr>
  </w:style>
  <w:style w:type="table" w:customStyle="1" w:styleId="136">
    <w:name w:val="List Table 4 - Accent 1"/>
    <w:qFormat/>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2DFEE" w:themeColor="accent1" w:themeTint="40" w:fill="D2DFEE" w:themeFill="accent1" w:themeFillTint="40"/>
      </w:tcPr>
    </w:tblStylePr>
    <w:tblStylePr w:type="band1Horz">
      <w:rPr>
        <w:rFonts w:ascii="Arial" w:hAnsi="Arial"/>
        <w:color w:val="404040"/>
        <w:sz w:val="22"/>
      </w:rPr>
      <w:tcPr>
        <w:shd w:val="clear" w:color="D2DFEE" w:themeColor="accent1" w:themeTint="40" w:fill="D2DFEE" w:themeFill="accent1" w:themeFillTint="40"/>
      </w:tcPr>
    </w:tblStylePr>
  </w:style>
  <w:style w:type="table" w:customStyle="1" w:styleId="137">
    <w:name w:val="List Table 4 - Accent 2"/>
    <w:qFormat/>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FD3D2" w:themeColor="accent2" w:themeTint="40" w:fill="EFD3D2" w:themeFill="accent2" w:themeFillTint="40"/>
      </w:tcPr>
    </w:tblStylePr>
    <w:tblStylePr w:type="band1Horz">
      <w:rPr>
        <w:rFonts w:ascii="Arial" w:hAnsi="Arial"/>
        <w:color w:val="404040"/>
        <w:sz w:val="22"/>
      </w:rPr>
      <w:tcPr>
        <w:shd w:val="clear" w:color="EFD3D2" w:themeColor="accent2" w:themeTint="40" w:fill="EFD3D2" w:themeFill="accent2" w:themeFillTint="40"/>
      </w:tcPr>
    </w:tblStylePr>
  </w:style>
  <w:style w:type="table" w:customStyle="1" w:styleId="138">
    <w:name w:val="List Table 4 - Accent 3"/>
    <w:qFormat/>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5EDD5" w:themeColor="accent3" w:themeTint="40" w:fill="E5EDD5" w:themeFill="accent3" w:themeFillTint="40"/>
      </w:tcPr>
    </w:tblStylePr>
    <w:tblStylePr w:type="band1Horz">
      <w:rPr>
        <w:rFonts w:ascii="Arial" w:hAnsi="Arial"/>
        <w:color w:val="404040"/>
        <w:sz w:val="22"/>
      </w:rPr>
      <w:tcPr>
        <w:shd w:val="clear" w:color="E5EDD5" w:themeColor="accent3" w:themeTint="40" w:fill="E5EDD5" w:themeFill="accent3" w:themeFillTint="40"/>
      </w:tcPr>
    </w:tblStylePr>
  </w:style>
  <w:style w:type="table" w:customStyle="1" w:styleId="139">
    <w:name w:val="List Table 4 - Accent 4"/>
    <w:qFormat/>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FD8E7" w:themeColor="accent4" w:themeTint="40" w:fill="DFD8E7" w:themeFill="accent4" w:themeFillTint="40"/>
      </w:tcPr>
    </w:tblStylePr>
    <w:tblStylePr w:type="band1Horz">
      <w:rPr>
        <w:rFonts w:ascii="Arial" w:hAnsi="Arial"/>
        <w:color w:val="404040"/>
        <w:sz w:val="22"/>
      </w:rPr>
      <w:tcPr>
        <w:shd w:val="clear" w:color="DFD8E7" w:themeColor="accent4" w:themeTint="40" w:fill="DFD8E7" w:themeFill="accent4" w:themeFillTint="40"/>
      </w:tcPr>
    </w:tblStylePr>
  </w:style>
  <w:style w:type="table" w:customStyle="1" w:styleId="140">
    <w:name w:val="List Table 4 - Accent 5"/>
    <w:qFormat/>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1EAF0" w:themeColor="accent5" w:themeTint="40" w:fill="D1EAF0" w:themeFill="accent5" w:themeFillTint="40"/>
      </w:tcPr>
    </w:tblStylePr>
    <w:tblStylePr w:type="band1Horz">
      <w:rPr>
        <w:rFonts w:ascii="Arial" w:hAnsi="Arial"/>
        <w:color w:val="404040"/>
        <w:sz w:val="22"/>
      </w:rPr>
      <w:tcPr>
        <w:shd w:val="clear" w:color="D1EAF0" w:themeColor="accent5" w:themeTint="40" w:fill="D1EAF0" w:themeFill="accent5" w:themeFillTint="40"/>
      </w:tcPr>
    </w:tblStylePr>
  </w:style>
  <w:style w:type="table" w:customStyle="1" w:styleId="141">
    <w:name w:val="List Table 4 - Accent 6"/>
    <w:qFormat/>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CE4D0" w:themeColor="accent6" w:themeTint="40" w:fill="FCE4D0" w:themeFill="accent6" w:themeFillTint="40"/>
      </w:tcPr>
    </w:tblStylePr>
    <w:tblStylePr w:type="band1Horz">
      <w:rPr>
        <w:rFonts w:ascii="Arial" w:hAnsi="Arial"/>
        <w:color w:val="404040"/>
        <w:sz w:val="22"/>
      </w:rPr>
      <w:tcPr>
        <w:shd w:val="clear" w:color="FCE4D0" w:themeColor="accent6" w:themeTint="40" w:fill="FCE4D0" w:themeFill="accent6" w:themeFillTint="40"/>
      </w:tcPr>
    </w:tblStylePr>
  </w:style>
  <w:style w:type="table" w:customStyle="1" w:styleId="142">
    <w:name w:val="List Table 5 Dark"/>
    <w:qFormat/>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7E7E7E" w:themeColor="text1" w:themeTint="80" w:sz="32" w:space="0"/>
          <w:right w:val="single" w:color="FFFFFF" w:themeColor="light1" w:sz="4" w:space="0"/>
        </w:tcBorders>
      </w:tcPr>
    </w:tblStylePr>
    <w:tblStylePr w:type="lastCol">
      <w:tcPr>
        <w:tcBorders>
          <w:left w:val="single" w:color="FFFFFF" w:themeColor="light1" w:sz="4" w:space="0"/>
          <w:right w:val="single" w:color="7E7E7E" w:themeColor="text1" w:themeTint="80" w:sz="32" w:space="0"/>
        </w:tcBorders>
      </w:tcPr>
    </w:tblStylePr>
    <w:tblStylePr w:type="band1Vert">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cPr>
        <w:tcBorders>
          <w:top w:val="single" w:color="FFFFFF" w:themeColor="light1" w:sz="4" w:space="0"/>
          <w:bottom w:val="single" w:color="FFFFFF" w:themeColor="light1" w:sz="4" w:space="0"/>
        </w:tcBorders>
        <w:shd w:val="clear" w:color="7E7E7E" w:themeColor="text1" w:themeTint="80" w:fill="7E7E7E" w:themeFill="text1" w:themeFillTint="80"/>
      </w:tcPr>
    </w:tblStylePr>
  </w:style>
  <w:style w:type="table" w:customStyle="1" w:styleId="143">
    <w:name w:val="List Table 5 Dark - Accent 1"/>
    <w:qFormat/>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14:textFill>
          <w14:solidFill>
            <w14:schemeClr w14:val="lt1"/>
          </w14:solidFill>
        </w14:textFill>
      </w:r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4F81BD" w:themeColor="accent1" w:sz="32" w:space="0"/>
          <w:right w:val="single" w:color="FFFFFF" w:themeColor="light1" w:sz="4" w:space="0"/>
        </w:tcBorders>
      </w:tcPr>
    </w:tblStylePr>
    <w:tblStylePr w:type="lastCol">
      <w:tcPr>
        <w:tcBorders>
          <w:left w:val="single" w:color="FFFFFF" w:themeColor="light1" w:sz="4" w:space="0"/>
          <w:right w:val="single" w:color="4F81BD" w:themeColor="accent1" w:sz="32" w:space="0"/>
        </w:tcBorders>
      </w:tcPr>
    </w:tblStylePr>
    <w:tblStylePr w:type="band1Vert">
      <w:tcPr>
        <w:tcBorders>
          <w:left w:val="single" w:color="FFFFFF" w:themeColor="light1" w:sz="4" w:space="0"/>
          <w:right w:val="single" w:color="FFFFFF" w:themeColor="light1" w:sz="4" w:space="0"/>
        </w:tcBorders>
        <w:shd w:val="clear" w:color="4F81BD" w:themeColor="accent1" w:fill="4F81BD" w:themeFill="accent1"/>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4F81BD" w:themeColor="accent1" w:fill="4F81BD" w:themeFill="accent1"/>
      </w:tcPr>
    </w:tblStylePr>
    <w:tblStylePr w:type="band2Horz">
      <w:tcPr>
        <w:tcBorders>
          <w:top w:val="single" w:color="FFFFFF" w:themeColor="light1" w:sz="4" w:space="0"/>
          <w:bottom w:val="single" w:color="FFFFFF" w:themeColor="light1" w:sz="4" w:space="0"/>
        </w:tcBorders>
        <w:shd w:val="clear" w:color="4F81BD" w:themeColor="accent1" w:fill="4F81BD" w:themeFill="accent1"/>
      </w:tcPr>
    </w:tblStylePr>
  </w:style>
  <w:style w:type="table" w:customStyle="1" w:styleId="144">
    <w:name w:val="List Table 5 Dark - Accent 2"/>
    <w:qFormat/>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14:textFill>
          <w14:solidFill>
            <w14:schemeClr w14:val="lt1"/>
          </w14:solidFill>
        </w14:textFill>
      </w:r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D99795" w:themeColor="accent2" w:themeTint="97" w:sz="32" w:space="0"/>
          <w:right w:val="single" w:color="FFFFFF" w:themeColor="light1" w:sz="4" w:space="0"/>
        </w:tcBorders>
      </w:tcPr>
    </w:tblStylePr>
    <w:tblStylePr w:type="lastCol">
      <w:tcPr>
        <w:tcBorders>
          <w:left w:val="single" w:color="FFFFFF" w:themeColor="light1" w:sz="4" w:space="0"/>
          <w:right w:val="single" w:color="D99795" w:themeColor="accent2" w:themeTint="97" w:sz="32" w:space="0"/>
        </w:tcBorders>
      </w:tcPr>
    </w:tblStylePr>
    <w:tblStylePr w:type="band1Vert">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style>
  <w:style w:type="table" w:customStyle="1" w:styleId="145">
    <w:name w:val="List Table 5 Dark - Accent 3"/>
    <w:qFormat/>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14:textFill>
          <w14:solidFill>
            <w14:schemeClr w14:val="lt1"/>
          </w14:solidFill>
        </w14:textFill>
      </w:r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C3D69C" w:themeColor="accent3" w:themeTint="98" w:sz="32" w:space="0"/>
          <w:right w:val="single" w:color="FFFFFF" w:themeColor="light1" w:sz="4" w:space="0"/>
        </w:tcBorders>
      </w:tcPr>
    </w:tblStylePr>
    <w:tblStylePr w:type="lastCol">
      <w:tcPr>
        <w:tcBorders>
          <w:left w:val="single" w:color="FFFFFF" w:themeColor="light1" w:sz="4" w:space="0"/>
          <w:right w:val="single" w:color="C3D69C" w:themeColor="accent3" w:themeTint="98" w:sz="32" w:space="0"/>
        </w:tcBorders>
      </w:tcPr>
    </w:tblStylePr>
    <w:tblStylePr w:type="band1Vert">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style>
  <w:style w:type="table" w:customStyle="1" w:styleId="146">
    <w:name w:val="List Table 5 Dark - Accent 4"/>
    <w:qFormat/>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14:textFill>
          <w14:solidFill>
            <w14:schemeClr w14:val="lt1"/>
          </w14:solidFill>
        </w14:textFill>
      </w:r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B2A1C6" w:themeColor="accent4" w:themeTint="9A" w:sz="32" w:space="0"/>
          <w:right w:val="single" w:color="FFFFFF" w:themeColor="light1" w:sz="4" w:space="0"/>
        </w:tcBorders>
      </w:tcPr>
    </w:tblStylePr>
    <w:tblStylePr w:type="lastCol">
      <w:tcPr>
        <w:tcBorders>
          <w:left w:val="single" w:color="FFFFFF" w:themeColor="light1" w:sz="4" w:space="0"/>
          <w:right w:val="single" w:color="B2A1C6" w:themeColor="accent4" w:themeTint="9A" w:sz="32" w:space="0"/>
        </w:tcBorders>
      </w:tcPr>
    </w:tblStylePr>
    <w:tblStylePr w:type="band1Vert">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style>
  <w:style w:type="table" w:customStyle="1" w:styleId="147">
    <w:name w:val="List Table 5 Dark - Accent 5"/>
    <w:qFormat/>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14:textFill>
          <w14:solidFill>
            <w14:schemeClr w14:val="lt1"/>
          </w14:solidFill>
        </w14:textFill>
      </w:r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92CCDC" w:themeColor="accent5" w:themeTint="9A" w:sz="32" w:space="0"/>
          <w:right w:val="single" w:color="FFFFFF" w:themeColor="light1" w:sz="4" w:space="0"/>
        </w:tcBorders>
      </w:tcPr>
    </w:tblStylePr>
    <w:tblStylePr w:type="lastCol">
      <w:tcPr>
        <w:tcBorders>
          <w:left w:val="single" w:color="FFFFFF" w:themeColor="light1" w:sz="4" w:space="0"/>
          <w:right w:val="single" w:color="92CCDC" w:themeColor="accent5" w:themeTint="9A" w:sz="32" w:space="0"/>
        </w:tcBorders>
      </w:tcPr>
    </w:tblStylePr>
    <w:tblStylePr w:type="band1Vert">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style>
  <w:style w:type="table" w:customStyle="1" w:styleId="148">
    <w:name w:val="List Table 5 Dark - Accent 6"/>
    <w:qFormat/>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14:textFill>
          <w14:solidFill>
            <w14:schemeClr w14:val="lt1"/>
          </w14:solidFill>
        </w14:textFill>
      </w:r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FAC090" w:themeColor="accent6" w:themeTint="98" w:sz="32" w:space="0"/>
          <w:right w:val="single" w:color="FFFFFF" w:themeColor="light1" w:sz="4" w:space="0"/>
        </w:tcBorders>
      </w:tcPr>
    </w:tblStylePr>
    <w:tblStylePr w:type="lastCol">
      <w:tcPr>
        <w:tcBorders>
          <w:left w:val="single" w:color="FFFFFF" w:themeColor="light1" w:sz="4" w:space="0"/>
          <w:right w:val="single" w:color="FAC090" w:themeColor="accent6" w:themeTint="98" w:sz="32" w:space="0"/>
        </w:tcBorders>
      </w:tcPr>
    </w:tblStylePr>
    <w:tblStylePr w:type="band1Vert">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style>
  <w:style w:type="table" w:customStyle="1" w:styleId="149">
    <w:name w:val="List Table 6 Colorful"/>
    <w:qFormat/>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cPr>
        <w:tcBorders>
          <w:bottom w:val="single" w:color="7E7E7E" w:themeColor="text1" w:themeTint="80" w:sz="4" w:space="0"/>
        </w:tcBorders>
      </w:tcPr>
    </w:tblStylePr>
    <w:tblStylePr w:type="lastRow">
      <w:rPr>
        <w:b/>
        <w:color w:val="000000" w:themeColor="text1"/>
        <w14:textFill>
          <w14:solidFill>
            <w14:schemeClr w14:val="tx1"/>
          </w14:solidFill>
        </w14:textFill>
      </w:rPr>
      <w:tcPr>
        <w:tcBorders>
          <w:top w:val="single" w:color="7E7E7E" w:themeColor="text1" w:themeTint="80" w:sz="4" w:space="0"/>
        </w:tcBorders>
      </w:tcPr>
    </w:tblStylePr>
    <w:tblStylePr w:type="firstCol">
      <w:rPr>
        <w:b/>
        <w:color w:val="000000" w:themeColor="text1"/>
        <w14:textFill>
          <w14:solidFill>
            <w14:schemeClr w14:val="tx1"/>
          </w14:solidFill>
        </w14:textFill>
      </w:rPr>
    </w:tblStylePr>
    <w:tblStylePr w:type="lastCol">
      <w:rPr>
        <w:b/>
        <w:color w:val="000000" w:themeColor="text1"/>
        <w14:textFill>
          <w14:solidFill>
            <w14:schemeClr w14:val="tx1"/>
          </w14:solidFill>
        </w14:textFill>
      </w:rPr>
    </w:tblStylePr>
    <w:tblStylePr w:type="band1Vert">
      <w:tcPr>
        <w:shd w:val="clear" w:color="BEBEBE" w:themeColor="text1" w:themeTint="40" w:fill="BEBEBE" w:themeFill="text1" w:themeFillTint="40"/>
      </w:tcPr>
    </w:tblStylePr>
    <w:tblStylePr w:type="band1Horz">
      <w:rPr>
        <w:rFonts w:ascii="Arial" w:hAnsi="Arial"/>
        <w:color w:val="000000" w:themeColor="text1"/>
        <w:sz w:val="22"/>
        <w14:textFill>
          <w14:solidFill>
            <w14:schemeClr w14:val="tx1"/>
          </w14:solidFill>
        </w14:textFill>
      </w:rPr>
      <w:tcPr>
        <w:shd w:val="clear" w:color="BEBEBE" w:themeColor="text1" w:themeTint="40" w:fill="BEBEBE" w:themeFill="text1" w:themeFillTint="40"/>
      </w:tcPr>
    </w:tblStylePr>
    <w:tblStylePr w:type="band2Horz">
      <w:rPr>
        <w:rFonts w:ascii="Arial" w:hAnsi="Arial"/>
        <w:color w:val="000000" w:themeColor="text1"/>
        <w:sz w:val="22"/>
        <w14:textFill>
          <w14:solidFill>
            <w14:schemeClr w14:val="tx1"/>
          </w14:solidFill>
        </w14:textFill>
      </w:rPr>
    </w:tblStylePr>
  </w:style>
  <w:style w:type="table" w:customStyle="1" w:styleId="150">
    <w:name w:val="List Table 6 Colorful - Accent 1"/>
    <w:qFormat/>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4"/>
      </w:rPr>
      <w:tcPr>
        <w:tcBorders>
          <w:bottom w:val="single" w:color="4F81BD" w:themeColor="accent1" w:sz="4" w:space="0"/>
        </w:tcBorders>
      </w:tcPr>
    </w:tblStylePr>
    <w:tblStylePr w:type="lastRow">
      <w:rPr>
        <w:b/>
        <w:color w:val="2A4B71" w:themeColor="accent1" w:themeShade="94"/>
      </w:rPr>
      <w:tcPr>
        <w:tcBorders>
          <w:top w:val="single" w:color="4F81BD" w:themeColor="accent1" w:sz="4" w:space="0"/>
        </w:tcBorders>
      </w:tcPr>
    </w:tblStylePr>
    <w:tblStylePr w:type="firstCol">
      <w:rPr>
        <w:b/>
        <w:color w:val="2A4B71" w:themeColor="accent1" w:themeShade="94"/>
      </w:rPr>
    </w:tblStylePr>
    <w:tblStylePr w:type="lastCol">
      <w:rPr>
        <w:b/>
        <w:color w:val="2A4B71" w:themeColor="accent1" w:themeShade="94"/>
      </w:rPr>
    </w:tblStylePr>
    <w:tblStylePr w:type="band1Vert">
      <w:tcPr>
        <w:shd w:val="clear" w:color="D2DFEE" w:themeColor="accent1" w:themeTint="40" w:fill="D2DFEE" w:themeFill="accent1" w:themeFillTint="40"/>
      </w:tcPr>
    </w:tblStylePr>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style>
  <w:style w:type="table" w:customStyle="1" w:styleId="151">
    <w:name w:val="List Table 6 Colorful - Accent 2"/>
    <w:qFormat/>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4" w:space="0"/>
        </w:tcBorders>
      </w:tcPr>
    </w:tblStylePr>
    <w:tblStylePr w:type="lastRow">
      <w:rPr>
        <w:b/>
        <w:color w:val="DA9896" w:themeColor="accent2" w:themeTint="96"/>
        <w14:textFill>
          <w14:solidFill>
            <w14:schemeClr w14:val="accent2">
              <w14:lumMod w14:val="59000"/>
              <w14:lumOff w14:val="41000"/>
            </w14:schemeClr>
          </w14:solidFill>
        </w14:textFill>
      </w:rPr>
      <w:tcPr>
        <w:tcBorders>
          <w:top w:val="single" w:color="D99795" w:themeColor="accent2" w:themeTint="97" w:sz="4" w:space="0"/>
        </w:tcBorders>
      </w:tc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EFD3D2" w:themeColor="accent2" w:themeTint="40" w:fill="EFD3D2" w:themeFill="accent2" w:themeFillTint="40"/>
      </w:tc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style>
  <w:style w:type="table" w:customStyle="1" w:styleId="152">
    <w:name w:val="List Table 6 Colorful - Accent 3"/>
    <w:qFormat/>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B" w:themeColor="accent3" w:themeTint="99"/>
        <w14:textFill>
          <w14:solidFill>
            <w14:schemeClr w14:val="accent3">
              <w14:lumMod w14:val="60000"/>
              <w14:lumOff w14:val="40000"/>
            </w14:schemeClr>
          </w14:solidFill>
        </w14:textFill>
      </w:rPr>
      <w:tcPr>
        <w:tcBorders>
          <w:bottom w:val="single" w:color="C3D69C" w:themeColor="accent3" w:themeTint="98" w:sz="4" w:space="0"/>
        </w:tcBorders>
      </w:tcPr>
    </w:tblStylePr>
    <w:tblStylePr w:type="lastRow">
      <w:rPr>
        <w:b/>
        <w:color w:val="C3D69B" w:themeColor="accent3" w:themeTint="99"/>
        <w14:textFill>
          <w14:solidFill>
            <w14:schemeClr w14:val="accent3">
              <w14:lumMod w14:val="60000"/>
              <w14:lumOff w14:val="40000"/>
            </w14:schemeClr>
          </w14:solidFill>
        </w14:textFill>
      </w:rPr>
      <w:tcPr>
        <w:tcBorders>
          <w:top w:val="single" w:color="C3D69C" w:themeColor="accent3" w:themeTint="98" w:sz="4" w:space="0"/>
        </w:tcBorders>
      </w:tcPr>
    </w:tblStylePr>
    <w:tblStylePr w:type="firstCol">
      <w:rPr>
        <w:b/>
        <w:color w:val="C3D69B" w:themeColor="accent3" w:themeTint="99"/>
        <w14:textFill>
          <w14:solidFill>
            <w14:schemeClr w14:val="accent3">
              <w14:lumMod w14:val="60000"/>
              <w14:lumOff w14:val="40000"/>
            </w14:schemeClr>
          </w14:solidFill>
        </w14:textFill>
      </w:rPr>
    </w:tblStylePr>
    <w:tblStylePr w:type="lastCol">
      <w:rPr>
        <w:b/>
        <w:color w:val="C3D69B" w:themeColor="accent3" w:themeTint="99"/>
        <w14:textFill>
          <w14:solidFill>
            <w14:schemeClr w14:val="accent3">
              <w14:lumMod w14:val="60000"/>
              <w14:lumOff w14:val="40000"/>
            </w14:schemeClr>
          </w14:solidFill>
        </w14:textFill>
      </w:rPr>
    </w:tblStylePr>
    <w:tblStylePr w:type="band1Vert">
      <w:tcPr>
        <w:shd w:val="clear" w:color="E5EDD5" w:themeColor="accent3" w:themeTint="40" w:fill="E5EDD5" w:themeFill="accent3" w:themeFillTint="40"/>
      </w:tc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style>
  <w:style w:type="table" w:customStyle="1" w:styleId="153">
    <w:name w:val="List Table 6 Colorful - Accent 4"/>
    <w:qFormat/>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4" w:space="0"/>
        </w:tcBorders>
      </w:tcPr>
    </w:tblStylePr>
    <w:tblStylePr w:type="lastRow">
      <w:rPr>
        <w:b/>
        <w:color w:val="B3A2C7" w:themeColor="accent4" w:themeTint="99"/>
        <w14:textFill>
          <w14:solidFill>
            <w14:schemeClr w14:val="accent4">
              <w14:lumMod w14:val="60000"/>
              <w14:lumOff w14:val="40000"/>
            </w14:schemeClr>
          </w14:solidFill>
        </w14:textFill>
      </w:rPr>
      <w:tcPr>
        <w:tcBorders>
          <w:top w:val="single" w:color="B2A1C6" w:themeColor="accent4" w:themeTint="9A" w:sz="4" w:space="0"/>
        </w:tcBorders>
      </w:tc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DFD8E7" w:themeColor="accent4" w:themeTint="40" w:fill="DFD8E7" w:themeFill="accent4" w:themeFillTint="40"/>
      </w:tc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style>
  <w:style w:type="table" w:customStyle="1" w:styleId="154">
    <w:name w:val="List Table 6 Colorful - Accent 5"/>
    <w:qFormat/>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3CDDD" w:themeColor="accent5" w:themeTint="99"/>
        <w14:textFill>
          <w14:solidFill>
            <w14:schemeClr w14:val="accent5">
              <w14:lumMod w14:val="60000"/>
              <w14:lumOff w14:val="40000"/>
            </w14:schemeClr>
          </w14:solidFill>
        </w14:textFill>
      </w:rPr>
      <w:tcPr>
        <w:tcBorders>
          <w:bottom w:val="single" w:color="92CCDC" w:themeColor="accent5" w:themeTint="9A" w:sz="4" w:space="0"/>
        </w:tcBorders>
      </w:tcPr>
    </w:tblStylePr>
    <w:tblStylePr w:type="lastRow">
      <w:rPr>
        <w:b/>
        <w:color w:val="93CDDD" w:themeColor="accent5" w:themeTint="99"/>
        <w14:textFill>
          <w14:solidFill>
            <w14:schemeClr w14:val="accent5">
              <w14:lumMod w14:val="60000"/>
              <w14:lumOff w14:val="40000"/>
            </w14:schemeClr>
          </w14:solidFill>
        </w14:textFill>
      </w:rPr>
      <w:tcPr>
        <w:tcBorders>
          <w:top w:val="single" w:color="92CCDC" w:themeColor="accent5" w:themeTint="9A" w:sz="4" w:space="0"/>
        </w:tcBorders>
      </w:tcPr>
    </w:tblStylePr>
    <w:tblStylePr w:type="firstCol">
      <w:rPr>
        <w:b/>
        <w:color w:val="93CDDD" w:themeColor="accent5" w:themeTint="99"/>
        <w14:textFill>
          <w14:solidFill>
            <w14:schemeClr w14:val="accent5">
              <w14:lumMod w14:val="60000"/>
              <w14:lumOff w14:val="40000"/>
            </w14:schemeClr>
          </w14:solidFill>
        </w14:textFill>
      </w:rPr>
    </w:tblStylePr>
    <w:tblStylePr w:type="lastCol">
      <w:rPr>
        <w:b/>
        <w:color w:val="93CDDD" w:themeColor="accent5" w:themeTint="99"/>
        <w14:textFill>
          <w14:solidFill>
            <w14:schemeClr w14:val="accent5">
              <w14:lumMod w14:val="60000"/>
              <w14:lumOff w14:val="40000"/>
            </w14:schemeClr>
          </w14:solidFill>
        </w14:textFill>
      </w:rPr>
    </w:tblStylePr>
    <w:tblStylePr w:type="band1Vert">
      <w:tcPr>
        <w:shd w:val="clear" w:color="D1EAF0" w:themeColor="accent5" w:themeTint="40" w:fill="D1EAF0" w:themeFill="accent5" w:themeFillTint="40"/>
      </w:tc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style>
  <w:style w:type="table" w:customStyle="1" w:styleId="155">
    <w:name w:val="List Table 6 Colorful - Accent 6"/>
    <w:qFormat/>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Tint="99"/>
        <w14:textFill>
          <w14:solidFill>
            <w14:schemeClr w14:val="accent6">
              <w14:lumMod w14:val="60000"/>
              <w14:lumOff w14:val="40000"/>
            </w14:schemeClr>
          </w14:solidFill>
        </w14:textFill>
      </w:rPr>
      <w:tcPr>
        <w:tcBorders>
          <w:bottom w:val="single" w:color="FAC090" w:themeColor="accent6" w:themeTint="98" w:sz="4" w:space="0"/>
        </w:tcBorders>
      </w:tcPr>
    </w:tblStylePr>
    <w:tblStylePr w:type="lastRow">
      <w:rPr>
        <w:b/>
        <w:color w:val="FAC090" w:themeColor="accent6" w:themeTint="99"/>
        <w14:textFill>
          <w14:solidFill>
            <w14:schemeClr w14:val="accent6">
              <w14:lumMod w14:val="60000"/>
              <w14:lumOff w14:val="40000"/>
            </w14:schemeClr>
          </w14:solidFill>
        </w14:textFill>
      </w:rPr>
      <w:tcPr>
        <w:tcBorders>
          <w:top w:val="single" w:color="FAC090" w:themeColor="accent6" w:themeTint="98" w:sz="4" w:space="0"/>
        </w:tcBorders>
      </w:tcPr>
    </w:tblStylePr>
    <w:tblStylePr w:type="firstCol">
      <w:rPr>
        <w:b/>
        <w:color w:val="FAC090" w:themeColor="accent6" w:themeTint="99"/>
        <w14:textFill>
          <w14:solidFill>
            <w14:schemeClr w14:val="accent6">
              <w14:lumMod w14:val="60000"/>
              <w14:lumOff w14:val="40000"/>
            </w14:schemeClr>
          </w14:solidFill>
        </w14:textFill>
      </w:rPr>
    </w:tblStylePr>
    <w:tblStylePr w:type="lastCol">
      <w:rPr>
        <w:b/>
        <w:color w:val="FAC090" w:themeColor="accent6" w:themeTint="99"/>
        <w14:textFill>
          <w14:solidFill>
            <w14:schemeClr w14:val="accent6">
              <w14:lumMod w14:val="60000"/>
              <w14:lumOff w14:val="40000"/>
            </w14:schemeClr>
          </w14:solidFill>
        </w14:textFill>
      </w:rPr>
    </w:tblStylePr>
    <w:tblStylePr w:type="band1Vert">
      <w:tcPr>
        <w:shd w:val="clear" w:color="FCE4D0" w:themeColor="accent6" w:themeTint="40" w:fill="FCE4D0" w:themeFill="accent6" w:themeFillTint="40"/>
      </w:tc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style>
  <w:style w:type="table" w:customStyle="1" w:styleId="156">
    <w:name w:val="List Table 7 Colorful"/>
    <w:qFormat/>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BEBEBE" w:themeColor="text1" w:themeTint="40" w:fill="BEBEBE" w:themeFill="text1" w:themeFillTint="40"/>
      </w:tcPr>
    </w:tblStylePr>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BEBEBE" w:themeColor="text1" w:themeTint="40"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style>
  <w:style w:type="table" w:customStyle="1" w:styleId="157">
    <w:name w:val="List Table 7 Colorful - Accent 1"/>
    <w:qFormat/>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4"/>
        <w:sz w:val="22"/>
      </w:r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4"/>
        <w:sz w:val="22"/>
      </w:r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4"/>
        <w:sz w:val="22"/>
      </w:r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4"/>
        <w:sz w:val="22"/>
      </w:rPr>
      <w:tcPr>
        <w:tcBorders>
          <w:top w:val="nil"/>
          <w:left w:val="single" w:color="4F81BD" w:themeColor="accent1" w:sz="4" w:space="0"/>
          <w:bottom w:val="nil"/>
          <w:right w:val="nil"/>
        </w:tcBorders>
        <w:shd w:val="clear" w:color="FFFFFF" w:fill="auto"/>
      </w:tcPr>
    </w:tblStylePr>
    <w:tblStylePr w:type="band1Vert">
      <w:tcPr>
        <w:shd w:val="clear" w:color="D2DFEE" w:themeColor="accent1" w:themeTint="40" w:fill="D2DFEE" w:themeFill="accent1" w:themeFillTint="40"/>
      </w:tcPr>
    </w:tblStylePr>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style>
  <w:style w:type="table" w:customStyle="1" w:styleId="158">
    <w:name w:val="List Table 7 Colorful - Accent 2"/>
    <w:qFormat/>
    <w:uiPriority w:val="99"/>
    <w:pPr>
      <w:spacing w:after="0" w:line="240" w:lineRule="auto"/>
    </w:pPr>
    <w:tblPr>
      <w:tblBorders>
        <w:right w:val="single" w:color="D99795" w:themeColor="accent2" w:themeTint="97" w:sz="4" w:space="0"/>
      </w:tblBorders>
    </w:tblPr>
    <w:tblStylePr w:type="firstRow">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EFD3D2" w:themeColor="accent2" w:themeTint="40" w:fill="EFD3D2" w:themeFill="accent2" w:themeFillTint="40"/>
      </w:tc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style>
  <w:style w:type="table" w:customStyle="1" w:styleId="159">
    <w:name w:val="List Table 7 Colorful - Accent 3"/>
    <w:qFormat/>
    <w:uiPriority w:val="99"/>
    <w:pPr>
      <w:spacing w:after="0" w:line="240" w:lineRule="auto"/>
    </w:pPr>
    <w:tblPr>
      <w:tblBorders>
        <w:right w:val="single" w:color="C3D69C" w:themeColor="accent3" w:themeTint="98" w:sz="4" w:space="0"/>
      </w:tblBorders>
    </w:tblPr>
    <w:tblStylePr w:type="firstRow">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B" w:themeColor="accent3" w:themeTint="99"/>
        <w:sz w:val="22"/>
        <w14:textFill>
          <w14:solidFill>
            <w14:schemeClr w14:val="accent3">
              <w14:lumMod w14:val="60000"/>
              <w14:lumOff w14:val="40000"/>
            </w14:schemeClr>
          </w14:solidFill>
        </w14:textFill>
      </w:r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single" w:color="C3D69C" w:themeColor="accent3" w:themeTint="98" w:sz="4" w:space="0"/>
          <w:bottom w:val="nil"/>
          <w:right w:val="nil"/>
        </w:tcBorders>
        <w:shd w:val="clear" w:color="FFFFFF" w:fill="auto"/>
      </w:tcPr>
    </w:tblStylePr>
    <w:tblStylePr w:type="band1Vert">
      <w:tcPr>
        <w:shd w:val="clear" w:color="E5EDD5" w:themeColor="accent3" w:themeTint="40" w:fill="E5EDD5" w:themeFill="accent3" w:themeFillTint="40"/>
      </w:tc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style>
  <w:style w:type="table" w:customStyle="1" w:styleId="160">
    <w:name w:val="List Table 7 Colorful - Accent 4"/>
    <w:qFormat/>
    <w:uiPriority w:val="99"/>
    <w:pPr>
      <w:spacing w:after="0" w:line="240" w:lineRule="auto"/>
    </w:pPr>
    <w:tblPr>
      <w:tblBorders>
        <w:right w:val="single" w:color="B2A1C6" w:themeColor="accent4" w:themeTint="9A" w:sz="4" w:space="0"/>
      </w:tblBorders>
    </w:tblPr>
    <w:tblStylePr w:type="firstRow">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DFD8E7" w:themeColor="accent4" w:themeTint="40" w:fill="DFD8E7" w:themeFill="accent4" w:themeFillTint="40"/>
      </w:tc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style>
  <w:style w:type="table" w:customStyle="1" w:styleId="161">
    <w:name w:val="List Table 7 Colorful - Accent 5"/>
    <w:qFormat/>
    <w:uiPriority w:val="99"/>
    <w:pPr>
      <w:spacing w:after="0" w:line="240" w:lineRule="auto"/>
    </w:pPr>
    <w:tblPr>
      <w:tblBorders>
        <w:right w:val="single" w:color="92CCDC" w:themeColor="accent5" w:themeTint="9A" w:sz="4" w:space="0"/>
      </w:tblBorders>
    </w:tblPr>
    <w:tblStylePr w:type="firstRow">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3CDDD" w:themeColor="accent5" w:themeTint="99"/>
        <w:sz w:val="22"/>
        <w14:textFill>
          <w14:solidFill>
            <w14:schemeClr w14:val="accent5">
              <w14:lumMod w14:val="60000"/>
              <w14:lumOff w14:val="40000"/>
            </w14:schemeClr>
          </w14:solidFill>
        </w14:textFill>
      </w:r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single" w:color="92CCDC" w:themeColor="accent5" w:themeTint="9A" w:sz="4" w:space="0"/>
          <w:bottom w:val="nil"/>
          <w:right w:val="nil"/>
        </w:tcBorders>
        <w:shd w:val="clear" w:color="FFFFFF" w:fill="auto"/>
      </w:tcPr>
    </w:tblStylePr>
    <w:tblStylePr w:type="band1Vert">
      <w:tcPr>
        <w:shd w:val="clear" w:color="D1EAF0" w:themeColor="accent5" w:themeTint="40" w:fill="D1EAF0" w:themeFill="accent5" w:themeFillTint="40"/>
      </w:tc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style>
  <w:style w:type="table" w:customStyle="1" w:styleId="162">
    <w:name w:val="List Table 7 Colorful - Accent 6"/>
    <w:qFormat/>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Tint="99"/>
        <w:sz w:val="22"/>
        <w14:textFill>
          <w14:solidFill>
            <w14:schemeClr w14:val="accent6">
              <w14:lumMod w14:val="60000"/>
              <w14:lumOff w14:val="40000"/>
            </w14:schemeClr>
          </w14:solidFill>
        </w14:textFill>
      </w:r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single" w:color="FAC090" w:themeColor="accent6" w:themeTint="98" w:sz="4" w:space="0"/>
          <w:bottom w:val="nil"/>
          <w:right w:val="nil"/>
        </w:tcBorders>
        <w:shd w:val="clear" w:color="FFFFFF" w:fill="auto"/>
      </w:tcPr>
    </w:tblStylePr>
    <w:tblStylePr w:type="band1Vert">
      <w:tcPr>
        <w:shd w:val="clear" w:color="FCE4D0" w:themeColor="accent6" w:themeTint="40" w:fill="FCE4D0" w:themeFill="accent6" w:themeFillTint="40"/>
      </w:tc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style>
  <w:style w:type="table" w:customStyle="1" w:styleId="163">
    <w:name w:val="Lined - Accent"/>
    <w:qFormat/>
    <w:uiPriority w:val="99"/>
    <w:pPr>
      <w:spacing w:after="0" w:line="240" w:lineRule="auto"/>
    </w:pPr>
    <w:rPr>
      <w:color w:val="404040"/>
    </w:r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style>
  <w:style w:type="table" w:customStyle="1" w:styleId="164">
    <w:name w:val="Lined - Accent 1"/>
    <w:qFormat/>
    <w:uiPriority w:val="99"/>
    <w:pPr>
      <w:spacing w:after="0" w:line="240" w:lineRule="auto"/>
    </w:pPr>
    <w:rPr>
      <w:color w:val="404040"/>
    </w:r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style>
  <w:style w:type="table" w:customStyle="1" w:styleId="165">
    <w:name w:val="Lined - Accent 2"/>
    <w:qFormat/>
    <w:uiPriority w:val="99"/>
    <w:pPr>
      <w:spacing w:after="0" w:line="240" w:lineRule="auto"/>
    </w:pPr>
    <w:rPr>
      <w:color w:val="404040"/>
    </w:r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style>
  <w:style w:type="table" w:customStyle="1" w:styleId="166">
    <w:name w:val="Lined - Accent 3"/>
    <w:qFormat/>
    <w:uiPriority w:val="99"/>
    <w:pPr>
      <w:spacing w:after="0" w:line="240" w:lineRule="auto"/>
    </w:pPr>
    <w:rPr>
      <w:color w:val="404040"/>
    </w:r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style>
  <w:style w:type="table" w:customStyle="1" w:styleId="167">
    <w:name w:val="Lined - Accent 4"/>
    <w:qFormat/>
    <w:uiPriority w:val="99"/>
    <w:pPr>
      <w:spacing w:after="0" w:line="240" w:lineRule="auto"/>
    </w:pPr>
    <w:rPr>
      <w:color w:val="404040"/>
    </w:r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style>
  <w:style w:type="table" w:customStyle="1" w:styleId="168">
    <w:name w:val="Lined - Accent 5"/>
    <w:qFormat/>
    <w:uiPriority w:val="99"/>
    <w:pPr>
      <w:spacing w:after="0" w:line="240" w:lineRule="auto"/>
    </w:pPr>
    <w:rPr>
      <w:color w:val="404040"/>
    </w:r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style>
  <w:style w:type="table" w:customStyle="1" w:styleId="169">
    <w:name w:val="Lined - Accent 6"/>
    <w:qFormat/>
    <w:uiPriority w:val="99"/>
    <w:pPr>
      <w:spacing w:after="0" w:line="240" w:lineRule="auto"/>
    </w:pPr>
    <w:rPr>
      <w:color w:val="404040"/>
    </w:r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style>
  <w:style w:type="table" w:customStyle="1" w:styleId="170">
    <w:name w:val="Bordered &amp; Lined - Accent"/>
    <w:qFormat/>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style>
  <w:style w:type="table" w:customStyle="1" w:styleId="171">
    <w:name w:val="Bordered &amp; Lined - Accent 1"/>
    <w:qFormat/>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style>
  <w:style w:type="table" w:customStyle="1" w:styleId="172">
    <w:name w:val="Bordered &amp; Lined - Accent 2"/>
    <w:qFormat/>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style>
  <w:style w:type="table" w:customStyle="1" w:styleId="173">
    <w:name w:val="Bordered &amp; Lined - Accent 3"/>
    <w:qFormat/>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style>
  <w:style w:type="table" w:customStyle="1" w:styleId="174">
    <w:name w:val="Bordered &amp; Lined - Accent 4"/>
    <w:qFormat/>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style>
  <w:style w:type="table" w:customStyle="1" w:styleId="175">
    <w:name w:val="Bordered &amp; Lined - Accent 5"/>
    <w:qFormat/>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style>
  <w:style w:type="table" w:customStyle="1" w:styleId="176">
    <w:name w:val="Bordered &amp; Lined - Accent 6"/>
    <w:qFormat/>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style>
  <w:style w:type="table" w:customStyle="1" w:styleId="177">
    <w:name w:val="Bordered"/>
    <w:qFormat/>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cPr>
        <w:tcBorders>
          <w:bottom w:val="single" w:color="7E7E7E" w:themeColor="text1" w:themeTint="80" w:sz="12" w:space="0"/>
        </w:tcBorders>
      </w:tcPr>
    </w:tblStylePr>
    <w:tblStylePr w:type="lastRow">
      <w:rPr>
        <w:rFonts w:ascii="Arial" w:hAnsi="Arial"/>
        <w:color w:val="404040"/>
        <w:sz w:val="22"/>
      </w:rPr>
      <w:tcPr>
        <w:tcBorders>
          <w:top w:val="single" w:color="7E7E7E" w:themeColor="text1" w:themeTint="80"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7E7E7E" w:themeColor="text1" w:themeTint="80" w:sz="12" w:space="0"/>
        </w:tcBorders>
      </w:tcPr>
    </w:tblStylePr>
    <w:tblStylePr w:type="band1Horz">
      <w:rPr>
        <w:rFonts w:ascii="Arial" w:hAnsi="Arial"/>
        <w:color w:val="404040"/>
        <w:sz w:val="22"/>
      </w:r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style>
  <w:style w:type="table" w:customStyle="1" w:styleId="178">
    <w:name w:val="Bordered - Accent 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cPr>
        <w:tcBorders>
          <w:bottom w:val="single" w:color="4F81BD" w:themeColor="accent1" w:sz="12" w:space="0"/>
        </w:tcBorders>
      </w:tcPr>
    </w:tblStylePr>
    <w:tblStylePr w:type="lastRow">
      <w:rPr>
        <w:rFonts w:ascii="Arial" w:hAnsi="Arial"/>
        <w:color w:val="404040"/>
        <w:sz w:val="22"/>
      </w:rPr>
      <w:tcPr>
        <w:tcBorders>
          <w:top w:val="single" w:color="4F81BD" w:themeColor="accent1"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4F81BD" w:themeColor="accent1" w:sz="12" w:space="0"/>
        </w:tcBorders>
      </w:tcPr>
    </w:tblStylePr>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style>
  <w:style w:type="table" w:customStyle="1" w:styleId="179">
    <w:name w:val="Bordered - Accent 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cPr>
        <w:tcBorders>
          <w:bottom w:val="single" w:color="D99795" w:themeColor="accent2" w:themeTint="97" w:sz="12" w:space="0"/>
        </w:tcBorders>
      </w:tcPr>
    </w:tblStylePr>
    <w:tblStylePr w:type="lastRow">
      <w:rPr>
        <w:rFonts w:ascii="Arial" w:hAnsi="Arial"/>
        <w:color w:val="404040"/>
        <w:sz w:val="22"/>
      </w:rPr>
      <w:tcPr>
        <w:tcBorders>
          <w:top w:val="single" w:color="D99795" w:themeColor="accent2" w:themeTint="97"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D99795" w:themeColor="accent2" w:themeTint="97" w:sz="12" w:space="0"/>
        </w:tcBorders>
      </w:tcPr>
    </w:tblStylePr>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style>
  <w:style w:type="table" w:customStyle="1" w:styleId="180">
    <w:name w:val="Bordered - Accent 3"/>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cPr>
        <w:tcBorders>
          <w:bottom w:val="single" w:color="C3D69C" w:themeColor="accent3" w:themeTint="98" w:sz="12" w:space="0"/>
        </w:tcBorders>
      </w:tcPr>
    </w:tblStylePr>
    <w:tblStylePr w:type="lastRow">
      <w:rPr>
        <w:rFonts w:ascii="Arial" w:hAnsi="Arial"/>
        <w:color w:val="404040"/>
        <w:sz w:val="22"/>
      </w:rPr>
      <w:tcPr>
        <w:tcBorders>
          <w:top w:val="single" w:color="C3D69C" w:themeColor="accent3"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C3D69C" w:themeColor="accent3" w:themeTint="98" w:sz="12" w:space="0"/>
        </w:tcBorders>
      </w:tcPr>
    </w:tblStylePr>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style>
  <w:style w:type="table" w:customStyle="1" w:styleId="181">
    <w:name w:val="Bordered - Accent 4"/>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cPr>
        <w:tcBorders>
          <w:bottom w:val="single" w:color="B2A1C6" w:themeColor="accent4" w:themeTint="9A" w:sz="12" w:space="0"/>
        </w:tcBorders>
      </w:tcPr>
    </w:tblStylePr>
    <w:tblStylePr w:type="lastRow">
      <w:rPr>
        <w:rFonts w:ascii="Arial" w:hAnsi="Arial"/>
        <w:color w:val="404040"/>
        <w:sz w:val="22"/>
      </w:rPr>
      <w:tcPr>
        <w:tcBorders>
          <w:top w:val="single" w:color="B2A1C6" w:themeColor="accent4"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B2A1C6" w:themeColor="accent4" w:themeTint="9A" w:sz="12" w:space="0"/>
        </w:tcBorders>
      </w:tcPr>
    </w:tblStylePr>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style>
  <w:style w:type="table" w:customStyle="1" w:styleId="182">
    <w:name w:val="Bordered - Accent 5"/>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cPr>
        <w:tcBorders>
          <w:bottom w:val="single" w:color="92CCDC" w:themeColor="accent5" w:themeTint="9A" w:sz="12" w:space="0"/>
        </w:tcBorders>
      </w:tcPr>
    </w:tblStylePr>
    <w:tblStylePr w:type="lastRow">
      <w:rPr>
        <w:rFonts w:ascii="Arial" w:hAnsi="Arial"/>
        <w:color w:val="404040"/>
        <w:sz w:val="22"/>
      </w:rPr>
      <w:tcPr>
        <w:tcBorders>
          <w:top w:val="single" w:color="92CCDC" w:themeColor="accent5"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92CCDC" w:themeColor="accent5" w:themeTint="9A" w:sz="12" w:space="0"/>
        </w:tcBorders>
      </w:tcPr>
    </w:tblStylePr>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style>
  <w:style w:type="table" w:customStyle="1" w:styleId="183">
    <w:name w:val="Bordered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cPr>
        <w:tcBorders>
          <w:bottom w:val="single" w:color="FAC090" w:themeColor="accent6" w:themeTint="98" w:sz="12" w:space="0"/>
        </w:tcBorders>
      </w:tcPr>
    </w:tblStylePr>
    <w:tblStylePr w:type="lastRow">
      <w:rPr>
        <w:rFonts w:ascii="Arial" w:hAnsi="Arial"/>
        <w:color w:val="404040"/>
        <w:sz w:val="22"/>
      </w:rPr>
      <w:tcPr>
        <w:tcBorders>
          <w:top w:val="single" w:color="FAC090" w:themeColor="accent6"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AC090" w:themeColor="accent6" w:themeTint="98" w:sz="12" w:space="0"/>
        </w:tcBorders>
      </w:tcPr>
    </w:tblStylePr>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style>
  <w:style w:type="character" w:customStyle="1" w:styleId="184">
    <w:name w:val="Footnote Text Char"/>
    <w:link w:val="25"/>
    <w:qFormat/>
    <w:uiPriority w:val="99"/>
    <w:rPr>
      <w:sz w:val="18"/>
    </w:rPr>
  </w:style>
  <w:style w:type="character" w:customStyle="1" w:styleId="185">
    <w:name w:val="Endnote Text Char"/>
    <w:link w:val="19"/>
    <w:qFormat/>
    <w:uiPriority w:val="99"/>
    <w:rPr>
      <w:sz w:val="20"/>
    </w:rPr>
  </w:style>
  <w:style w:type="paragraph" w:customStyle="1" w:styleId="186">
    <w:name w:val="TOC Heading"/>
    <w:unhideWhenUsed/>
    <w:qFormat/>
    <w:uiPriority w:val="39"/>
    <w:rPr>
      <w:rFonts w:hint="default" w:ascii="Calibri" w:hAnsi="Calibri" w:eastAsia="宋体" w:cs="Times New Roman"/>
    </w:rPr>
  </w:style>
  <w:style w:type="paragraph" w:customStyle="1" w:styleId="187">
    <w:name w:val="标题 11"/>
    <w:basedOn w:val="1"/>
    <w:next w:val="1"/>
    <w:link w:val="253"/>
    <w:qFormat/>
    <w:uiPriority w:val="0"/>
    <w:pPr>
      <w:keepNext/>
      <w:jc w:val="center"/>
      <w:outlineLvl w:val="0"/>
    </w:pPr>
    <w:rPr>
      <w:rFonts w:ascii="楷体_GB2312" w:hAnsi="Times New Roman" w:eastAsia="楷体_GB2312"/>
      <w:sz w:val="28"/>
      <w:szCs w:val="28"/>
    </w:rPr>
  </w:style>
  <w:style w:type="paragraph" w:customStyle="1" w:styleId="188">
    <w:name w:val="标题 21"/>
    <w:basedOn w:val="1"/>
    <w:next w:val="189"/>
    <w:link w:val="201"/>
    <w:qFormat/>
    <w:uiPriority w:val="0"/>
    <w:pPr>
      <w:keepNext/>
      <w:keepLines/>
      <w:spacing w:before="260" w:after="260" w:line="416" w:lineRule="auto"/>
      <w:jc w:val="center"/>
      <w:outlineLvl w:val="1"/>
    </w:pPr>
    <w:rPr>
      <w:rFonts w:ascii="Arial" w:hAnsi="Arial" w:eastAsia="幼圆" w:cs="Arial"/>
      <w:b/>
      <w:bCs/>
      <w:sz w:val="44"/>
      <w:szCs w:val="44"/>
    </w:rPr>
  </w:style>
  <w:style w:type="paragraph" w:customStyle="1" w:styleId="189">
    <w:name w:val="正文缩进1"/>
    <w:basedOn w:val="1"/>
    <w:link w:val="202"/>
    <w:qFormat/>
    <w:uiPriority w:val="0"/>
    <w:pPr>
      <w:ind w:firstLine="420"/>
    </w:pPr>
    <w:rPr>
      <w:rFonts w:ascii="Times New Roman" w:hAnsi="Times New Roman"/>
      <w:szCs w:val="21"/>
    </w:rPr>
  </w:style>
  <w:style w:type="paragraph" w:customStyle="1" w:styleId="190">
    <w:name w:val="标题 31"/>
    <w:basedOn w:val="1"/>
    <w:next w:val="189"/>
    <w:link w:val="203"/>
    <w:qFormat/>
    <w:uiPriority w:val="0"/>
    <w:pPr>
      <w:keepNext/>
      <w:keepLines/>
      <w:spacing w:before="260" w:after="260" w:line="416" w:lineRule="auto"/>
      <w:outlineLvl w:val="2"/>
    </w:pPr>
    <w:rPr>
      <w:rFonts w:ascii="Times New Roman" w:hAnsi="Times New Roman"/>
      <w:b/>
      <w:bCs/>
      <w:sz w:val="32"/>
      <w:szCs w:val="32"/>
    </w:rPr>
  </w:style>
  <w:style w:type="paragraph" w:customStyle="1" w:styleId="191">
    <w:name w:val="标题 41"/>
    <w:basedOn w:val="1"/>
    <w:next w:val="189"/>
    <w:link w:val="204"/>
    <w:qFormat/>
    <w:uiPriority w:val="0"/>
    <w:pPr>
      <w:keepNext/>
      <w:keepLines/>
      <w:spacing w:before="280" w:after="290" w:line="376" w:lineRule="auto"/>
      <w:outlineLvl w:val="3"/>
    </w:pPr>
    <w:rPr>
      <w:rFonts w:ascii="Arial" w:hAnsi="Arial" w:eastAsia="黑体"/>
      <w:b/>
      <w:bCs/>
      <w:sz w:val="28"/>
      <w:szCs w:val="28"/>
    </w:rPr>
  </w:style>
  <w:style w:type="paragraph" w:customStyle="1" w:styleId="192">
    <w:name w:val="标题 51"/>
    <w:basedOn w:val="1"/>
    <w:next w:val="189"/>
    <w:link w:val="205"/>
    <w:qFormat/>
    <w:uiPriority w:val="0"/>
    <w:pPr>
      <w:keepNext/>
      <w:outlineLvl w:val="4"/>
    </w:pPr>
    <w:rPr>
      <w:rFonts w:ascii="宋体" w:hAnsi="Times New Roman"/>
      <w:color w:val="000000"/>
      <w:sz w:val="28"/>
      <w:szCs w:val="28"/>
    </w:rPr>
  </w:style>
  <w:style w:type="paragraph" w:customStyle="1" w:styleId="193">
    <w:name w:val="标题 61"/>
    <w:basedOn w:val="1"/>
    <w:next w:val="1"/>
    <w:link w:val="206"/>
    <w:qFormat/>
    <w:uiPriority w:val="0"/>
    <w:pPr>
      <w:keepNext/>
      <w:keepLines/>
      <w:numPr>
        <w:ilvl w:val="5"/>
        <w:numId w:val="1"/>
      </w:numPr>
      <w:spacing w:before="240" w:after="64" w:line="320" w:lineRule="auto"/>
      <w:outlineLvl w:val="5"/>
    </w:pPr>
    <w:rPr>
      <w:rFonts w:ascii="Arial" w:hAnsi="Arial" w:eastAsia="黑体"/>
      <w:b/>
      <w:bCs/>
      <w:sz w:val="24"/>
      <w:szCs w:val="24"/>
    </w:rPr>
  </w:style>
  <w:style w:type="paragraph" w:customStyle="1" w:styleId="194">
    <w:name w:val="标题 71"/>
    <w:basedOn w:val="1"/>
    <w:next w:val="1"/>
    <w:link w:val="207"/>
    <w:qFormat/>
    <w:uiPriority w:val="0"/>
    <w:pPr>
      <w:keepNext/>
      <w:keepLines/>
      <w:numPr>
        <w:ilvl w:val="6"/>
        <w:numId w:val="1"/>
      </w:numPr>
      <w:spacing w:before="240" w:after="64" w:line="320" w:lineRule="auto"/>
      <w:outlineLvl w:val="6"/>
    </w:pPr>
    <w:rPr>
      <w:rFonts w:ascii="Times New Roman" w:hAnsi="Times New Roman"/>
      <w:b/>
      <w:bCs/>
      <w:sz w:val="24"/>
      <w:szCs w:val="24"/>
    </w:rPr>
  </w:style>
  <w:style w:type="paragraph" w:customStyle="1" w:styleId="195">
    <w:name w:val="标题 81"/>
    <w:basedOn w:val="1"/>
    <w:next w:val="1"/>
    <w:link w:val="208"/>
    <w:qFormat/>
    <w:uiPriority w:val="0"/>
    <w:pPr>
      <w:keepNext/>
      <w:keepLines/>
      <w:numPr>
        <w:ilvl w:val="7"/>
        <w:numId w:val="1"/>
      </w:numPr>
      <w:spacing w:before="240" w:after="64" w:line="320" w:lineRule="auto"/>
      <w:outlineLvl w:val="7"/>
    </w:pPr>
    <w:rPr>
      <w:rFonts w:ascii="Arial" w:hAnsi="Arial" w:eastAsia="黑体"/>
      <w:sz w:val="24"/>
      <w:szCs w:val="24"/>
    </w:rPr>
  </w:style>
  <w:style w:type="paragraph" w:customStyle="1" w:styleId="196">
    <w:name w:val="标题 91"/>
    <w:basedOn w:val="1"/>
    <w:next w:val="1"/>
    <w:link w:val="209"/>
    <w:qFormat/>
    <w:uiPriority w:val="0"/>
    <w:pPr>
      <w:keepNext/>
      <w:keepLines/>
      <w:numPr>
        <w:ilvl w:val="8"/>
        <w:numId w:val="1"/>
      </w:numPr>
      <w:spacing w:before="240" w:after="64" w:line="320" w:lineRule="auto"/>
      <w:outlineLvl w:val="8"/>
    </w:pPr>
    <w:rPr>
      <w:rFonts w:ascii="Arial" w:hAnsi="Arial" w:eastAsia="黑体"/>
      <w:szCs w:val="21"/>
    </w:rPr>
  </w:style>
  <w:style w:type="character" w:customStyle="1" w:styleId="197">
    <w:name w:val="默认段落字体1"/>
    <w:link w:val="1"/>
    <w:unhideWhenUsed/>
    <w:qFormat/>
    <w:uiPriority w:val="1"/>
  </w:style>
  <w:style w:type="table" w:customStyle="1" w:styleId="198">
    <w:name w:val="普通表格1"/>
    <w:unhideWhenUsed/>
    <w:qFormat/>
    <w:uiPriority w:val="99"/>
    <w:pPr>
      <w:keepNext w:val="0"/>
      <w:keepLines w:val="0"/>
      <w:widowControl/>
      <w:suppressLineNumbers w:val="0"/>
      <w:spacing w:before="0" w:beforeAutospacing="0" w:after="0" w:afterAutospacing="0"/>
      <w:ind w:left="0" w:right="0"/>
    </w:pPr>
    <w:rPr>
      <w:rFonts w:ascii="Times New Roman" w:hAnsi="Times New Roman" w:cs="Times New Roman"/>
      <w:sz w:val="20"/>
      <w:szCs w:val="20"/>
    </w:rPr>
  </w:style>
  <w:style w:type="character" w:customStyle="1" w:styleId="199">
    <w:name w:val="正文文本缩进 3 字符"/>
    <w:link w:val="38"/>
    <w:qFormat/>
    <w:uiPriority w:val="0"/>
    <w:rPr>
      <w:rFonts w:ascii="Arial" w:hAnsi="Arial" w:eastAsia="仿宋_GB2312" w:cs="Arial"/>
      <w:color w:val="FFFF00"/>
      <w:sz w:val="32"/>
      <w:szCs w:val="32"/>
    </w:rPr>
  </w:style>
  <w:style w:type="character" w:customStyle="1" w:styleId="200">
    <w:name w:val="标题 1 Char"/>
    <w:basedOn w:val="197"/>
    <w:link w:val="187"/>
    <w:qFormat/>
    <w:uiPriority w:val="0"/>
    <w:rPr>
      <w:b/>
      <w:bCs/>
      <w:sz w:val="44"/>
      <w:szCs w:val="44"/>
    </w:rPr>
  </w:style>
  <w:style w:type="character" w:customStyle="1" w:styleId="201">
    <w:name w:val="标题 2 字符"/>
    <w:link w:val="188"/>
    <w:qFormat/>
    <w:uiPriority w:val="0"/>
    <w:rPr>
      <w:rFonts w:ascii="Arial" w:hAnsi="Arial" w:eastAsia="幼圆" w:cs="Arial"/>
      <w:b/>
      <w:bCs/>
      <w:sz w:val="44"/>
      <w:szCs w:val="44"/>
      <w:lang w:val="en-US" w:eastAsia="zh-CN" w:bidi="ar-SA"/>
    </w:rPr>
  </w:style>
  <w:style w:type="character" w:customStyle="1" w:styleId="202">
    <w:name w:val="正文缩进 字符"/>
    <w:link w:val="189"/>
    <w:qFormat/>
    <w:uiPriority w:val="0"/>
    <w:rPr>
      <w:rFonts w:ascii="Times New Roman" w:hAnsi="Times New Roman" w:eastAsia="宋体" w:cs="Times New Roman"/>
      <w:sz w:val="21"/>
      <w:szCs w:val="21"/>
      <w:lang w:val="en-US" w:eastAsia="zh-CN" w:bidi="ar-SA"/>
    </w:rPr>
  </w:style>
  <w:style w:type="character" w:customStyle="1" w:styleId="203">
    <w:name w:val="标题 3 字符"/>
    <w:link w:val="190"/>
    <w:qFormat/>
    <w:uiPriority w:val="0"/>
    <w:rPr>
      <w:rFonts w:ascii="Times New Roman" w:hAnsi="Times New Roman" w:eastAsia="宋体" w:cs="Times New Roman"/>
      <w:b/>
      <w:bCs/>
      <w:sz w:val="32"/>
      <w:szCs w:val="32"/>
      <w:lang w:val="en-US" w:eastAsia="zh-CN" w:bidi="ar-SA"/>
    </w:rPr>
  </w:style>
  <w:style w:type="character" w:customStyle="1" w:styleId="204">
    <w:name w:val="标题 4 字符"/>
    <w:link w:val="191"/>
    <w:qFormat/>
    <w:uiPriority w:val="0"/>
    <w:rPr>
      <w:rFonts w:ascii="Arial" w:hAnsi="Arial" w:eastAsia="黑体" w:cs="Arial"/>
      <w:b/>
      <w:bCs/>
      <w:sz w:val="28"/>
      <w:szCs w:val="28"/>
    </w:rPr>
  </w:style>
  <w:style w:type="character" w:customStyle="1" w:styleId="205">
    <w:name w:val="标题 5 字符"/>
    <w:link w:val="192"/>
    <w:qFormat/>
    <w:uiPriority w:val="0"/>
    <w:rPr>
      <w:rFonts w:ascii="宋体" w:hAnsi="Times New Roman" w:eastAsia="宋体" w:cs="Times New Roman"/>
      <w:color w:val="000000"/>
      <w:sz w:val="28"/>
      <w:szCs w:val="28"/>
    </w:rPr>
  </w:style>
  <w:style w:type="character" w:customStyle="1" w:styleId="206">
    <w:name w:val="标题 6 字符"/>
    <w:link w:val="193"/>
    <w:qFormat/>
    <w:uiPriority w:val="0"/>
    <w:rPr>
      <w:rFonts w:ascii="Arial" w:hAnsi="Arial" w:eastAsia="黑体" w:cs="Times New Roman"/>
      <w:b/>
      <w:bCs/>
      <w:sz w:val="24"/>
      <w:szCs w:val="24"/>
    </w:rPr>
  </w:style>
  <w:style w:type="character" w:customStyle="1" w:styleId="207">
    <w:name w:val="标题 7 字符"/>
    <w:link w:val="194"/>
    <w:qFormat/>
    <w:uiPriority w:val="0"/>
    <w:rPr>
      <w:rFonts w:ascii="Times New Roman" w:hAnsi="Times New Roman" w:eastAsia="宋体" w:cs="Times New Roman"/>
      <w:b/>
      <w:bCs/>
      <w:sz w:val="24"/>
      <w:szCs w:val="24"/>
    </w:rPr>
  </w:style>
  <w:style w:type="character" w:customStyle="1" w:styleId="208">
    <w:name w:val="标题 8 字符"/>
    <w:link w:val="195"/>
    <w:qFormat/>
    <w:uiPriority w:val="0"/>
    <w:rPr>
      <w:rFonts w:ascii="Arial" w:hAnsi="Arial" w:eastAsia="黑体" w:cs="Times New Roman"/>
      <w:sz w:val="24"/>
      <w:szCs w:val="24"/>
    </w:rPr>
  </w:style>
  <w:style w:type="character" w:customStyle="1" w:styleId="209">
    <w:name w:val="标题 9 字符"/>
    <w:link w:val="196"/>
    <w:qFormat/>
    <w:uiPriority w:val="0"/>
    <w:rPr>
      <w:rFonts w:ascii="Arial" w:hAnsi="Arial" w:eastAsia="黑体" w:cs="Times New Roman"/>
      <w:sz w:val="21"/>
      <w:szCs w:val="21"/>
    </w:rPr>
  </w:style>
  <w:style w:type="paragraph" w:customStyle="1" w:styleId="210">
    <w:name w:val="列表 31"/>
    <w:basedOn w:val="1"/>
    <w:qFormat/>
    <w:uiPriority w:val="0"/>
    <w:pPr>
      <w:ind w:left="100" w:hanging="200"/>
    </w:pPr>
    <w:rPr>
      <w:rFonts w:ascii="Times New Roman" w:hAnsi="Times New Roman"/>
      <w:szCs w:val="21"/>
    </w:rPr>
  </w:style>
  <w:style w:type="paragraph" w:customStyle="1" w:styleId="211">
    <w:name w:val="文档结构图1"/>
    <w:basedOn w:val="1"/>
    <w:link w:val="212"/>
    <w:qFormat/>
    <w:uiPriority w:val="0"/>
    <w:pPr>
      <w:shd w:val="clear" w:color="auto" w:fill="000080"/>
    </w:pPr>
    <w:rPr>
      <w:rFonts w:ascii="Times New Roman" w:hAnsi="Times New Roman"/>
      <w:szCs w:val="21"/>
    </w:rPr>
  </w:style>
  <w:style w:type="character" w:customStyle="1" w:styleId="212">
    <w:name w:val="文档结构图 字符"/>
    <w:link w:val="211"/>
    <w:qFormat/>
    <w:uiPriority w:val="0"/>
    <w:rPr>
      <w:rFonts w:ascii="Times New Roman" w:hAnsi="Times New Roman" w:eastAsia="宋体" w:cs="Times New Roman"/>
      <w:sz w:val="21"/>
      <w:szCs w:val="21"/>
      <w:shd w:val="clear" w:color="auto" w:fill="000080"/>
    </w:rPr>
  </w:style>
  <w:style w:type="paragraph" w:customStyle="1" w:styleId="213">
    <w:name w:val="正文文本 31"/>
    <w:basedOn w:val="1"/>
    <w:link w:val="214"/>
    <w:qFormat/>
    <w:uiPriority w:val="0"/>
    <w:rPr>
      <w:rFonts w:ascii="仿宋_GB2312" w:hAnsi="Arial" w:eastAsia="仿宋_GB2312"/>
      <w:sz w:val="32"/>
      <w:szCs w:val="32"/>
    </w:rPr>
  </w:style>
  <w:style w:type="character" w:customStyle="1" w:styleId="214">
    <w:name w:val="正文文本 3 字符"/>
    <w:link w:val="213"/>
    <w:qFormat/>
    <w:uiPriority w:val="0"/>
    <w:rPr>
      <w:rFonts w:ascii="仿宋_GB2312" w:hAnsi="Arial" w:eastAsia="仿宋_GB2312" w:cs="Times New Roman"/>
      <w:sz w:val="32"/>
      <w:szCs w:val="32"/>
    </w:rPr>
  </w:style>
  <w:style w:type="paragraph" w:customStyle="1" w:styleId="215">
    <w:name w:val="正文文本1"/>
    <w:basedOn w:val="1"/>
    <w:link w:val="216"/>
    <w:qFormat/>
    <w:uiPriority w:val="0"/>
    <w:rPr>
      <w:rFonts w:ascii="楷体_GB2312" w:hAnsi="Arial" w:eastAsia="楷体_GB2312"/>
      <w:sz w:val="28"/>
      <w:szCs w:val="28"/>
    </w:rPr>
  </w:style>
  <w:style w:type="character" w:customStyle="1" w:styleId="216">
    <w:name w:val="正文文本 字符"/>
    <w:link w:val="215"/>
    <w:qFormat/>
    <w:uiPriority w:val="0"/>
    <w:rPr>
      <w:rFonts w:ascii="楷体_GB2312" w:hAnsi="Arial" w:eastAsia="楷体_GB2312" w:cs="Times New Roman"/>
      <w:sz w:val="28"/>
      <w:szCs w:val="28"/>
    </w:rPr>
  </w:style>
  <w:style w:type="paragraph" w:customStyle="1" w:styleId="217">
    <w:name w:val="正文文本缩进1"/>
    <w:basedOn w:val="1"/>
    <w:link w:val="218"/>
    <w:qFormat/>
    <w:uiPriority w:val="0"/>
    <w:pPr>
      <w:spacing w:after="120"/>
      <w:ind w:left="420"/>
    </w:pPr>
    <w:rPr>
      <w:rFonts w:ascii="Times New Roman" w:hAnsi="Times New Roman"/>
      <w:szCs w:val="21"/>
    </w:rPr>
  </w:style>
  <w:style w:type="character" w:customStyle="1" w:styleId="218">
    <w:name w:val="正文文本缩进 字符"/>
    <w:link w:val="217"/>
    <w:qFormat/>
    <w:uiPriority w:val="0"/>
    <w:rPr>
      <w:rFonts w:ascii="Times New Roman" w:hAnsi="Times New Roman" w:eastAsia="宋体" w:cs="Times New Roman"/>
      <w:sz w:val="21"/>
      <w:szCs w:val="21"/>
    </w:rPr>
  </w:style>
  <w:style w:type="paragraph" w:customStyle="1" w:styleId="219">
    <w:name w:val="列表 21"/>
    <w:basedOn w:val="1"/>
    <w:qFormat/>
    <w:uiPriority w:val="0"/>
    <w:pPr>
      <w:ind w:left="100" w:hanging="200"/>
    </w:pPr>
    <w:rPr>
      <w:rFonts w:ascii="Times New Roman" w:hAnsi="Times New Roman"/>
      <w:szCs w:val="21"/>
    </w:rPr>
  </w:style>
  <w:style w:type="paragraph" w:customStyle="1" w:styleId="220">
    <w:name w:val="目录 31"/>
    <w:basedOn w:val="1"/>
    <w:next w:val="1"/>
    <w:qFormat/>
    <w:uiPriority w:val="0"/>
    <w:pPr>
      <w:ind w:left="420"/>
      <w:jc w:val="left"/>
    </w:pPr>
    <w:rPr>
      <w:i/>
      <w:iCs/>
      <w:sz w:val="20"/>
    </w:rPr>
  </w:style>
  <w:style w:type="paragraph" w:customStyle="1" w:styleId="221">
    <w:name w:val="纯文本11"/>
    <w:basedOn w:val="1"/>
    <w:link w:val="222"/>
    <w:qFormat/>
    <w:uiPriority w:val="0"/>
    <w:rPr>
      <w:rFonts w:ascii="宋体" w:hAnsi="Courier New" w:cs="Courier New"/>
      <w:szCs w:val="21"/>
    </w:rPr>
  </w:style>
  <w:style w:type="character" w:customStyle="1" w:styleId="222">
    <w:name w:val="纯文本 字符"/>
    <w:link w:val="221"/>
    <w:qFormat/>
    <w:uiPriority w:val="0"/>
    <w:rPr>
      <w:rFonts w:ascii="宋体" w:hAnsi="Courier New" w:eastAsia="宋体" w:cs="Courier New"/>
      <w:sz w:val="21"/>
      <w:szCs w:val="21"/>
      <w:lang w:val="en-US" w:eastAsia="zh-CN" w:bidi="ar-SA"/>
    </w:rPr>
  </w:style>
  <w:style w:type="paragraph" w:customStyle="1" w:styleId="223">
    <w:name w:val="日期1"/>
    <w:basedOn w:val="1"/>
    <w:next w:val="1"/>
    <w:link w:val="224"/>
    <w:qFormat/>
    <w:uiPriority w:val="0"/>
    <w:rPr>
      <w:rFonts w:ascii="Times New Roman" w:hAnsi="Times New Roman"/>
      <w:sz w:val="24"/>
      <w:szCs w:val="24"/>
    </w:rPr>
  </w:style>
  <w:style w:type="character" w:customStyle="1" w:styleId="224">
    <w:name w:val="日期 字符"/>
    <w:link w:val="223"/>
    <w:qFormat/>
    <w:uiPriority w:val="0"/>
    <w:rPr>
      <w:rFonts w:ascii="Times New Roman" w:hAnsi="Times New Roman" w:eastAsia="宋体" w:cs="Times New Roman"/>
      <w:sz w:val="24"/>
      <w:szCs w:val="24"/>
    </w:rPr>
  </w:style>
  <w:style w:type="paragraph" w:customStyle="1" w:styleId="225">
    <w:name w:val="正文文本缩进 21"/>
    <w:basedOn w:val="1"/>
    <w:link w:val="226"/>
    <w:qFormat/>
    <w:uiPriority w:val="0"/>
    <w:pPr>
      <w:ind w:left="630" w:firstLine="645"/>
    </w:pPr>
    <w:rPr>
      <w:rFonts w:ascii="Arial" w:hAnsi="Arial" w:eastAsia="仿宋_GB2312"/>
      <w:sz w:val="32"/>
      <w:szCs w:val="32"/>
    </w:rPr>
  </w:style>
  <w:style w:type="character" w:customStyle="1" w:styleId="226">
    <w:name w:val="正文文本缩进 2 字符"/>
    <w:link w:val="225"/>
    <w:qFormat/>
    <w:uiPriority w:val="0"/>
    <w:rPr>
      <w:rFonts w:ascii="Arial" w:hAnsi="Arial" w:eastAsia="仿宋_GB2312" w:cs="Arial"/>
      <w:sz w:val="32"/>
      <w:szCs w:val="32"/>
    </w:rPr>
  </w:style>
  <w:style w:type="paragraph" w:customStyle="1" w:styleId="227">
    <w:name w:val="批注框文本1"/>
    <w:basedOn w:val="1"/>
    <w:link w:val="228"/>
    <w:unhideWhenUsed/>
    <w:qFormat/>
    <w:uiPriority w:val="99"/>
    <w:rPr>
      <w:rFonts w:ascii="Times New Roman" w:hAnsi="Times New Roman"/>
      <w:sz w:val="18"/>
      <w:szCs w:val="18"/>
    </w:rPr>
  </w:style>
  <w:style w:type="character" w:customStyle="1" w:styleId="228">
    <w:name w:val="批注框文本 字符"/>
    <w:link w:val="227"/>
    <w:semiHidden/>
    <w:qFormat/>
    <w:uiPriority w:val="99"/>
    <w:rPr>
      <w:rFonts w:ascii="Times New Roman" w:hAnsi="Times New Roman" w:eastAsia="宋体" w:cs="Times New Roman"/>
      <w:sz w:val="18"/>
      <w:szCs w:val="18"/>
    </w:rPr>
  </w:style>
  <w:style w:type="paragraph" w:customStyle="1" w:styleId="229">
    <w:name w:val="页脚1"/>
    <w:basedOn w:val="1"/>
    <w:link w:val="230"/>
    <w:qFormat/>
    <w:uiPriority w:val="0"/>
    <w:pPr>
      <w:tabs>
        <w:tab w:val="center" w:pos="4153"/>
        <w:tab w:val="right" w:pos="8306"/>
      </w:tabs>
      <w:jc w:val="left"/>
    </w:pPr>
    <w:rPr>
      <w:rFonts w:ascii="Times New Roman" w:hAnsi="Times New Roman"/>
      <w:sz w:val="18"/>
    </w:rPr>
  </w:style>
  <w:style w:type="character" w:customStyle="1" w:styleId="230">
    <w:name w:val="页脚 字符"/>
    <w:link w:val="229"/>
    <w:qFormat/>
    <w:uiPriority w:val="0"/>
    <w:rPr>
      <w:rFonts w:ascii="Times New Roman" w:hAnsi="Times New Roman" w:eastAsia="宋体" w:cs="Times New Roman"/>
      <w:sz w:val="18"/>
      <w:lang w:val="en-US" w:eastAsia="zh-CN" w:bidi="ar-SA"/>
    </w:rPr>
  </w:style>
  <w:style w:type="paragraph" w:customStyle="1" w:styleId="231">
    <w:name w:val="页眉1"/>
    <w:basedOn w:val="1"/>
    <w:link w:val="232"/>
    <w:qFormat/>
    <w:uiPriority w:val="0"/>
    <w:pPr>
      <w:pBdr>
        <w:top w:val="none" w:color="000000" w:sz="0" w:space="1"/>
        <w:left w:val="none" w:color="000000" w:sz="0" w:space="4"/>
        <w:bottom w:val="none" w:color="000000" w:sz="0" w:space="1"/>
        <w:right w:val="none" w:color="000000" w:sz="0" w:space="4"/>
      </w:pBdr>
      <w:tabs>
        <w:tab w:val="center" w:pos="4153"/>
        <w:tab w:val="right" w:pos="8306"/>
      </w:tabs>
    </w:pPr>
    <w:rPr>
      <w:rFonts w:ascii="Times New Roman" w:hAnsi="Times New Roman"/>
      <w:sz w:val="18"/>
    </w:rPr>
  </w:style>
  <w:style w:type="character" w:customStyle="1" w:styleId="232">
    <w:name w:val="页眉 字符"/>
    <w:link w:val="231"/>
    <w:qFormat/>
    <w:uiPriority w:val="0"/>
    <w:rPr>
      <w:rFonts w:ascii="Times New Roman" w:hAnsi="Times New Roman" w:eastAsia="宋体" w:cs="Times New Roman"/>
      <w:sz w:val="18"/>
    </w:rPr>
  </w:style>
  <w:style w:type="paragraph" w:customStyle="1" w:styleId="233">
    <w:name w:val="目录 11"/>
    <w:basedOn w:val="1"/>
    <w:next w:val="1"/>
    <w:qFormat/>
    <w:uiPriority w:val="39"/>
    <w:pPr>
      <w:spacing w:before="120" w:after="120"/>
      <w:jc w:val="left"/>
    </w:pPr>
    <w:rPr>
      <w:b/>
      <w:bCs/>
      <w:caps/>
      <w:sz w:val="20"/>
    </w:rPr>
  </w:style>
  <w:style w:type="paragraph" w:customStyle="1" w:styleId="234">
    <w:name w:val="列表1"/>
    <w:basedOn w:val="1"/>
    <w:qFormat/>
    <w:uiPriority w:val="0"/>
    <w:pPr>
      <w:ind w:left="200" w:hanging="200"/>
    </w:pPr>
    <w:rPr>
      <w:rFonts w:ascii="Times New Roman" w:hAnsi="Times New Roman"/>
      <w:szCs w:val="21"/>
    </w:rPr>
  </w:style>
  <w:style w:type="paragraph" w:customStyle="1" w:styleId="235">
    <w:name w:val="目录 21"/>
    <w:basedOn w:val="1"/>
    <w:next w:val="1"/>
    <w:qFormat/>
    <w:uiPriority w:val="0"/>
    <w:pPr>
      <w:ind w:left="210"/>
      <w:jc w:val="left"/>
    </w:pPr>
    <w:rPr>
      <w:smallCaps/>
      <w:sz w:val="20"/>
    </w:rPr>
  </w:style>
  <w:style w:type="paragraph" w:customStyle="1" w:styleId="236">
    <w:name w:val="正文文本 21"/>
    <w:basedOn w:val="1"/>
    <w:link w:val="237"/>
    <w:qFormat/>
    <w:uiPriority w:val="0"/>
    <w:pPr>
      <w:widowControl/>
      <w:jc w:val="center"/>
    </w:pPr>
    <w:rPr>
      <w:rFonts w:ascii="楷体_GB2312" w:hAnsi="Times New Roman" w:eastAsia="楷体_GB2312"/>
      <w:sz w:val="28"/>
      <w:szCs w:val="28"/>
    </w:rPr>
  </w:style>
  <w:style w:type="character" w:customStyle="1" w:styleId="237">
    <w:name w:val="正文文本 2 字符"/>
    <w:link w:val="236"/>
    <w:qFormat/>
    <w:uiPriority w:val="0"/>
    <w:rPr>
      <w:rFonts w:ascii="楷体_GB2312" w:hAnsi="Times New Roman" w:eastAsia="楷体_GB2312" w:cs="Times New Roman"/>
      <w:sz w:val="28"/>
      <w:szCs w:val="28"/>
    </w:rPr>
  </w:style>
  <w:style w:type="paragraph" w:customStyle="1" w:styleId="238">
    <w:name w:val="HTML 预设格式1"/>
    <w:basedOn w:val="1"/>
    <w:link w:val="239"/>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微软雅黑" w:hAnsi="微软雅黑"/>
      <w:sz w:val="24"/>
      <w:szCs w:val="24"/>
    </w:rPr>
  </w:style>
  <w:style w:type="character" w:customStyle="1" w:styleId="239">
    <w:name w:val="HTML 预设格式 字符"/>
    <w:link w:val="238"/>
    <w:qFormat/>
    <w:uiPriority w:val="0"/>
    <w:rPr>
      <w:rFonts w:ascii="微软雅黑" w:hAnsi="微软雅黑" w:eastAsia="宋体" w:cs="Arial"/>
      <w:sz w:val="24"/>
      <w:szCs w:val="24"/>
    </w:rPr>
  </w:style>
  <w:style w:type="paragraph" w:customStyle="1" w:styleId="240">
    <w:name w:val="普通(网站)1"/>
    <w:basedOn w:val="1"/>
    <w:qFormat/>
    <w:uiPriority w:val="99"/>
    <w:pPr>
      <w:widowControl/>
      <w:spacing w:before="100" w:beforeAutospacing="1" w:after="100" w:afterAutospacing="1"/>
      <w:jc w:val="left"/>
    </w:pPr>
    <w:rPr>
      <w:rFonts w:ascii="宋体" w:hAnsi="宋体" w:cs="宋体"/>
      <w:sz w:val="24"/>
      <w:szCs w:val="24"/>
    </w:rPr>
  </w:style>
  <w:style w:type="paragraph" w:customStyle="1" w:styleId="241">
    <w:name w:val="索引 11"/>
    <w:basedOn w:val="1"/>
    <w:next w:val="1"/>
    <w:qFormat/>
    <w:uiPriority w:val="0"/>
    <w:pPr>
      <w:spacing w:line="240" w:lineRule="atLeast"/>
    </w:pPr>
    <w:rPr>
      <w:rFonts w:ascii="Times New Roman" w:hAnsi="Times New Roman"/>
      <w:b/>
      <w:bCs/>
      <w:szCs w:val="21"/>
    </w:rPr>
  </w:style>
  <w:style w:type="paragraph" w:customStyle="1" w:styleId="242">
    <w:name w:val="标题11"/>
    <w:basedOn w:val="1"/>
    <w:link w:val="243"/>
    <w:qFormat/>
    <w:uiPriority w:val="0"/>
    <w:pPr>
      <w:spacing w:before="240" w:after="60"/>
      <w:jc w:val="center"/>
      <w:outlineLvl w:val="0"/>
    </w:pPr>
    <w:rPr>
      <w:rFonts w:ascii="Arial" w:hAnsi="Arial"/>
      <w:b/>
      <w:bCs/>
      <w:sz w:val="32"/>
      <w:szCs w:val="32"/>
    </w:rPr>
  </w:style>
  <w:style w:type="character" w:customStyle="1" w:styleId="243">
    <w:name w:val="标题 字符"/>
    <w:link w:val="242"/>
    <w:qFormat/>
    <w:uiPriority w:val="0"/>
    <w:rPr>
      <w:rFonts w:ascii="Arial" w:hAnsi="Arial" w:eastAsia="宋体" w:cs="Arial"/>
      <w:b/>
      <w:bCs/>
      <w:sz w:val="32"/>
      <w:szCs w:val="32"/>
    </w:rPr>
  </w:style>
  <w:style w:type="paragraph" w:customStyle="1" w:styleId="244">
    <w:name w:val="正文首行缩进1"/>
    <w:basedOn w:val="1"/>
    <w:link w:val="245"/>
    <w:qFormat/>
    <w:uiPriority w:val="0"/>
    <w:pPr>
      <w:spacing w:line="360" w:lineRule="auto"/>
      <w:ind w:firstLine="200"/>
    </w:pPr>
    <w:rPr>
      <w:rFonts w:ascii="仿宋_GB2312" w:hAnsi="Times New Roman" w:eastAsia="仿宋_GB2312"/>
      <w:sz w:val="30"/>
      <w:szCs w:val="30"/>
    </w:rPr>
  </w:style>
  <w:style w:type="character" w:customStyle="1" w:styleId="245">
    <w:name w:val="正文文本首行缩进 字符"/>
    <w:link w:val="244"/>
    <w:qFormat/>
    <w:uiPriority w:val="0"/>
    <w:rPr>
      <w:rFonts w:ascii="仿宋_GB2312" w:hAnsi="Times New Roman" w:eastAsia="仿宋_GB2312" w:cs="Times New Roman"/>
      <w:sz w:val="30"/>
      <w:szCs w:val="30"/>
    </w:rPr>
  </w:style>
  <w:style w:type="paragraph" w:customStyle="1" w:styleId="246">
    <w:name w:val="正文首行缩进 21"/>
    <w:basedOn w:val="217"/>
    <w:link w:val="247"/>
    <w:qFormat/>
    <w:uiPriority w:val="0"/>
    <w:pPr>
      <w:spacing w:after="0" w:line="360" w:lineRule="auto"/>
      <w:ind w:left="0" w:firstLine="420"/>
    </w:pPr>
    <w:rPr>
      <w:rFonts w:ascii="宋体" w:hAnsi="宋体"/>
    </w:rPr>
  </w:style>
  <w:style w:type="character" w:customStyle="1" w:styleId="247">
    <w:name w:val="正文文本首行缩进 2 字符"/>
    <w:link w:val="246"/>
    <w:qFormat/>
    <w:uiPriority w:val="0"/>
    <w:rPr>
      <w:rFonts w:ascii="宋体" w:hAnsi="宋体" w:eastAsia="宋体" w:cs="Times New Roman"/>
      <w:sz w:val="21"/>
      <w:szCs w:val="21"/>
    </w:rPr>
  </w:style>
  <w:style w:type="table" w:customStyle="1" w:styleId="248">
    <w:name w:val="网格型1"/>
    <w:basedOn w:val="198"/>
    <w:qFormat/>
    <w:uiPriority w:val="59"/>
  </w:style>
  <w:style w:type="character" w:customStyle="1" w:styleId="249">
    <w:name w:val="要点1"/>
    <w:link w:val="1"/>
    <w:qFormat/>
    <w:uiPriority w:val="0"/>
    <w:rPr>
      <w:rFonts w:ascii="Times New Roman" w:hAnsi="Times New Roman" w:eastAsia="宋体" w:cs="Times New Roman"/>
      <w:b/>
      <w:bCs/>
    </w:rPr>
  </w:style>
  <w:style w:type="character" w:customStyle="1" w:styleId="250">
    <w:name w:val="页码1"/>
    <w:link w:val="1"/>
    <w:qFormat/>
    <w:uiPriority w:val="0"/>
    <w:rPr>
      <w:rFonts w:ascii="Times New Roman" w:hAnsi="Times New Roman" w:eastAsia="宋体" w:cs="Times New Roman"/>
    </w:rPr>
  </w:style>
  <w:style w:type="character" w:customStyle="1" w:styleId="251">
    <w:name w:val="已访问的超链接1"/>
    <w:link w:val="1"/>
    <w:qFormat/>
    <w:uiPriority w:val="0"/>
    <w:rPr>
      <w:rFonts w:ascii="Times New Roman" w:hAnsi="Times New Roman" w:eastAsia="宋体" w:cs="Times New Roman"/>
      <w:color w:val="800080"/>
      <w:u w:val="single"/>
    </w:rPr>
  </w:style>
  <w:style w:type="character" w:customStyle="1" w:styleId="252">
    <w:name w:val="超链接1"/>
    <w:link w:val="1"/>
    <w:qFormat/>
    <w:uiPriority w:val="99"/>
    <w:rPr>
      <w:rFonts w:ascii="Times New Roman" w:hAnsi="Times New Roman" w:eastAsia="宋体" w:cs="Times New Roman"/>
      <w:color w:val="0000FF"/>
      <w:u w:val="single"/>
    </w:rPr>
  </w:style>
  <w:style w:type="character" w:customStyle="1" w:styleId="253">
    <w:name w:val="标题 1 字符"/>
    <w:link w:val="187"/>
    <w:qFormat/>
    <w:uiPriority w:val="9"/>
    <w:rPr>
      <w:rFonts w:ascii="楷体_GB2312" w:hAnsi="Times New Roman" w:eastAsia="楷体_GB2312" w:cs="Times New Roman"/>
      <w:sz w:val="28"/>
      <w:szCs w:val="28"/>
    </w:rPr>
  </w:style>
  <w:style w:type="character" w:customStyle="1" w:styleId="254">
    <w:name w:val="style21"/>
    <w:link w:val="1"/>
    <w:qFormat/>
    <w:uiPriority w:val="0"/>
    <w:rPr>
      <w:rFonts w:hint="eastAsia" w:ascii="宋体" w:hAnsi="宋体" w:eastAsia="宋体" w:cs="Times New Roman"/>
      <w:b/>
      <w:bCs/>
      <w:color w:val="000000"/>
      <w:sz w:val="33"/>
      <w:szCs w:val="33"/>
    </w:rPr>
  </w:style>
  <w:style w:type="character" w:customStyle="1" w:styleId="255">
    <w:name w:val="Char Char"/>
    <w:link w:val="1"/>
    <w:qFormat/>
    <w:uiPriority w:val="0"/>
    <w:rPr>
      <w:rFonts w:ascii="Times New Roman" w:hAnsi="Times New Roman" w:eastAsia="宋体" w:cs="Times New Roman"/>
      <w:sz w:val="18"/>
      <w:lang w:val="en-US" w:eastAsia="zh-CN" w:bidi="ar-SA"/>
    </w:rPr>
  </w:style>
  <w:style w:type="character" w:customStyle="1" w:styleId="256">
    <w:name w:val="Char Char14"/>
    <w:link w:val="1"/>
    <w:qFormat/>
    <w:uiPriority w:val="0"/>
    <w:rPr>
      <w:rFonts w:ascii="宋体" w:hAnsi="Courier New" w:eastAsia="宋体" w:cs="Times New Roman"/>
      <w:sz w:val="21"/>
      <w:lang w:val="en-US" w:eastAsia="zh-CN" w:bidi="ar-SA"/>
    </w:rPr>
  </w:style>
  <w:style w:type="character" w:customStyle="1" w:styleId="257">
    <w:name w:val="H2 Char"/>
    <w:link w:val="1"/>
    <w:qFormat/>
    <w:uiPriority w:val="0"/>
    <w:rPr>
      <w:rFonts w:ascii="Arial" w:hAnsi="Arial" w:eastAsia="幼圆" w:cs="Arial"/>
      <w:b/>
      <w:bCs/>
      <w:sz w:val="44"/>
      <w:szCs w:val="44"/>
      <w:lang w:val="en-US" w:eastAsia="zh-CN" w:bidi="ar-SA"/>
    </w:rPr>
  </w:style>
  <w:style w:type="character" w:customStyle="1" w:styleId="258">
    <w:name w:val="标题 3 Char1"/>
    <w:link w:val="1"/>
    <w:qFormat/>
    <w:uiPriority w:val="0"/>
    <w:rPr>
      <w:rFonts w:eastAsia="宋体"/>
      <w:b/>
      <w:bCs/>
      <w:sz w:val="32"/>
      <w:szCs w:val="32"/>
      <w:lang w:val="en-US" w:eastAsia="zh-CN" w:bidi="ar-SA"/>
    </w:rPr>
  </w:style>
  <w:style w:type="character" w:customStyle="1" w:styleId="259">
    <w:name w:val="纯文本 Char Char1"/>
    <w:link w:val="1"/>
    <w:qFormat/>
    <w:uiPriority w:val="0"/>
    <w:rPr>
      <w:rFonts w:ascii="宋体" w:hAnsi="Courier New" w:eastAsia="宋体" w:cs="Times New Roman"/>
      <w:sz w:val="21"/>
      <w:szCs w:val="21"/>
      <w:lang w:bidi="ar-SA"/>
    </w:rPr>
  </w:style>
  <w:style w:type="character" w:customStyle="1" w:styleId="260">
    <w:name w:val="font01"/>
    <w:link w:val="1"/>
    <w:qFormat/>
    <w:uiPriority w:val="0"/>
    <w:rPr>
      <w:rFonts w:hint="eastAsia" w:ascii="宋体" w:hAnsi="宋体" w:eastAsia="宋体" w:cs="宋体"/>
      <w:b/>
      <w:color w:val="FF0000"/>
      <w:sz w:val="24"/>
      <w:szCs w:val="24"/>
      <w:u w:val="none"/>
    </w:rPr>
  </w:style>
  <w:style w:type="character" w:customStyle="1" w:styleId="261">
    <w:name w:val="正文缩进 Char1"/>
    <w:link w:val="1"/>
    <w:qFormat/>
    <w:uiPriority w:val="0"/>
    <w:rPr>
      <w:rFonts w:eastAsia="宋体"/>
      <w:sz w:val="21"/>
      <w:szCs w:val="21"/>
      <w:lang w:val="en-US" w:eastAsia="zh-CN" w:bidi="ar-SA"/>
    </w:rPr>
  </w:style>
  <w:style w:type="character" w:customStyle="1" w:styleId="262">
    <w:name w:val="正文文本 Char"/>
    <w:link w:val="1"/>
    <w:qFormat/>
    <w:uiPriority w:val="0"/>
    <w:rPr>
      <w:rFonts w:ascii="楷体_GB2312" w:hAnsi="Arial" w:eastAsia="楷体_GB2312"/>
      <w:sz w:val="28"/>
      <w:szCs w:val="28"/>
    </w:rPr>
  </w:style>
  <w:style w:type="character" w:customStyle="1" w:styleId="263">
    <w:name w:val="style11"/>
    <w:link w:val="1"/>
    <w:qFormat/>
    <w:uiPriority w:val="0"/>
    <w:rPr>
      <w:rFonts w:ascii="Times New Roman" w:hAnsi="Times New Roman" w:eastAsia="宋体" w:cs="Times New Roman"/>
    </w:rPr>
  </w:style>
  <w:style w:type="character" w:customStyle="1" w:styleId="264">
    <w:name w:val="正文缩进 Char"/>
    <w:link w:val="1"/>
    <w:qFormat/>
    <w:uiPriority w:val="0"/>
    <w:rPr>
      <w:rFonts w:ascii="Times New Roman" w:hAnsi="Times New Roman" w:eastAsia="宋体" w:cs="Times New Roman"/>
      <w:sz w:val="21"/>
      <w:lang w:val="en-US" w:eastAsia="zh-CN" w:bidi="ar-SA"/>
    </w:rPr>
  </w:style>
  <w:style w:type="character" w:customStyle="1" w:styleId="265">
    <w:name w:val="ALT+Z Char"/>
    <w:link w:val="1"/>
    <w:qFormat/>
    <w:uiPriority w:val="0"/>
    <w:rPr>
      <w:rFonts w:ascii="Times New Roman" w:hAnsi="Times New Roman" w:eastAsia="宋体" w:cs="Times New Roman"/>
      <w:sz w:val="21"/>
      <w:szCs w:val="21"/>
      <w:lang w:bidi="ar-SA"/>
    </w:rPr>
  </w:style>
  <w:style w:type="character" w:customStyle="1" w:styleId="266">
    <w:name w:val="H3 Char"/>
    <w:link w:val="1"/>
    <w:qFormat/>
    <w:uiPriority w:val="0"/>
    <w:rPr>
      <w:rFonts w:ascii="Times New Roman" w:hAnsi="Times New Roman" w:eastAsia="宋体" w:cs="Times New Roman"/>
      <w:b/>
      <w:bCs/>
      <w:sz w:val="32"/>
      <w:szCs w:val="32"/>
      <w:lang w:bidi="ar-SA"/>
    </w:rPr>
  </w:style>
  <w:style w:type="character" w:customStyle="1" w:styleId="267">
    <w:name w:val="正文文本 2 Char"/>
    <w:link w:val="1"/>
    <w:qFormat/>
    <w:uiPriority w:val="0"/>
    <w:rPr>
      <w:rFonts w:ascii="楷体_GB2312" w:eastAsia="楷体_GB2312"/>
      <w:sz w:val="28"/>
      <w:szCs w:val="28"/>
    </w:rPr>
  </w:style>
  <w:style w:type="character" w:customStyle="1" w:styleId="268">
    <w:name w:val="NormalCharacter1"/>
    <w:link w:val="1"/>
    <w:qFormat/>
    <w:uiPriority w:val="0"/>
  </w:style>
  <w:style w:type="character" w:customStyle="1" w:styleId="269">
    <w:name w:val="二级目录 Char Char"/>
    <w:link w:val="270"/>
    <w:qFormat/>
    <w:uiPriority w:val="0"/>
    <w:rPr>
      <w:rFonts w:eastAsia="Times New Roman"/>
      <w:b/>
      <w:sz w:val="30"/>
      <w:szCs w:val="28"/>
      <w:lang w:val="en-US" w:eastAsia="zh-CN" w:bidi="ar-SA"/>
    </w:rPr>
  </w:style>
  <w:style w:type="paragraph" w:customStyle="1" w:styleId="270">
    <w:name w:val="二级目录"/>
    <w:next w:val="1"/>
    <w:link w:val="269"/>
    <w:qFormat/>
    <w:uiPriority w:val="0"/>
    <w:pPr>
      <w:tabs>
        <w:tab w:val="left" w:pos="720"/>
      </w:tabs>
      <w:ind w:left="567" w:hanging="567"/>
      <w:outlineLvl w:val="1"/>
    </w:pPr>
    <w:rPr>
      <w:rFonts w:hint="default" w:ascii="Calibri" w:hAnsi="Calibri" w:eastAsia="Times New Roman" w:cs="Times New Roman"/>
      <w:b/>
      <w:sz w:val="30"/>
      <w:szCs w:val="28"/>
      <w:lang w:val="en-US" w:eastAsia="zh-CN" w:bidi="ar-SA"/>
    </w:rPr>
  </w:style>
  <w:style w:type="character" w:customStyle="1" w:styleId="271">
    <w:name w:val="Char Char5"/>
    <w:link w:val="1"/>
    <w:qFormat/>
    <w:uiPriority w:val="0"/>
    <w:rPr>
      <w:rFonts w:ascii="Times New Roman" w:hAnsi="Times New Roman" w:eastAsia="宋体" w:cs="Times New Roman"/>
      <w:sz w:val="18"/>
      <w:lang w:bidi="ar-SA"/>
    </w:rPr>
  </w:style>
  <w:style w:type="character" w:customStyle="1" w:styleId="272">
    <w:name w:val="普通文字 Char Char2"/>
    <w:link w:val="1"/>
    <w:qFormat/>
    <w:uiPriority w:val="0"/>
    <w:rPr>
      <w:rFonts w:ascii="宋体" w:hAnsi="Courier New" w:eastAsia="宋体" w:cs="Courier New"/>
      <w:sz w:val="21"/>
      <w:szCs w:val="21"/>
    </w:rPr>
  </w:style>
  <w:style w:type="character" w:customStyle="1" w:styleId="273">
    <w:name w:val="font5 Char"/>
    <w:link w:val="1"/>
    <w:qFormat/>
    <w:uiPriority w:val="0"/>
    <w:rPr>
      <w:rFonts w:ascii="宋体" w:hAnsi="宋体" w:eastAsia="宋体" w:cs="Times New Roman"/>
      <w:sz w:val="28"/>
      <w:szCs w:val="28"/>
      <w:lang w:val="en-US" w:eastAsia="zh-CN" w:bidi="ar-SA"/>
    </w:rPr>
  </w:style>
  <w:style w:type="character" w:customStyle="1" w:styleId="274">
    <w:name w:val="标题 3 Char"/>
    <w:link w:val="1"/>
    <w:qFormat/>
    <w:uiPriority w:val="0"/>
    <w:rPr>
      <w:rFonts w:ascii="Times New Roman" w:hAnsi="Times New Roman" w:eastAsia="宋体" w:cs="Times New Roman"/>
      <w:b/>
      <w:bCs/>
      <w:sz w:val="32"/>
      <w:szCs w:val="32"/>
      <w:lang w:val="en-US" w:eastAsia="zh-CN" w:bidi="ar-SA"/>
    </w:rPr>
  </w:style>
  <w:style w:type="character" w:customStyle="1" w:styleId="275">
    <w:name w:val="标题 2 Char"/>
    <w:link w:val="1"/>
    <w:qFormat/>
    <w:uiPriority w:val="0"/>
    <w:rPr>
      <w:rFonts w:ascii="Arial" w:hAnsi="Arial" w:eastAsia="幼圆" w:cs="Arial"/>
      <w:b/>
      <w:bCs/>
      <w:sz w:val="44"/>
      <w:szCs w:val="44"/>
      <w:lang w:val="en-US" w:eastAsia="zh-CN" w:bidi="ar-SA"/>
    </w:rPr>
  </w:style>
  <w:style w:type="character" w:customStyle="1" w:styleId="276">
    <w:name w:val="Char Char3"/>
    <w:link w:val="1"/>
    <w:qFormat/>
    <w:uiPriority w:val="0"/>
    <w:rPr>
      <w:rFonts w:ascii="Times New Roman" w:hAnsi="Times New Roman" w:eastAsia="宋体" w:cs="Times New Roman"/>
      <w:sz w:val="21"/>
      <w:szCs w:val="21"/>
      <w:lang w:val="en-US" w:eastAsia="zh-CN" w:bidi="ar-SA"/>
    </w:rPr>
  </w:style>
  <w:style w:type="paragraph" w:customStyle="1" w:styleId="277">
    <w:name w:val="font6"/>
    <w:basedOn w:val="1"/>
    <w:qFormat/>
    <w:uiPriority w:val="0"/>
    <w:pPr>
      <w:widowControl/>
      <w:spacing w:before="100" w:beforeAutospacing="1" w:after="100" w:afterAutospacing="1"/>
      <w:jc w:val="left"/>
    </w:pPr>
    <w:rPr>
      <w:rFonts w:hint="eastAsia" w:ascii="宋体" w:hAnsi="宋体"/>
      <w:sz w:val="28"/>
      <w:szCs w:val="28"/>
      <w:u w:val="single"/>
    </w:rPr>
  </w:style>
  <w:style w:type="paragraph" w:customStyle="1" w:styleId="278">
    <w:name w:val="xl29"/>
    <w:basedOn w:val="1"/>
    <w:qFormat/>
    <w:uiPriority w:val="0"/>
    <w:pPr>
      <w:widowControl/>
      <w:pBdr>
        <w:left w:val="single" w:color="000000" w:sz="4" w:space="0"/>
        <w:bottom w:val="single" w:color="000000" w:sz="4" w:space="0"/>
      </w:pBdr>
      <w:spacing w:before="100" w:beforeAutospacing="1" w:after="100" w:afterAutospacing="1"/>
      <w:jc w:val="left"/>
    </w:pPr>
    <w:rPr>
      <w:rFonts w:ascii="宋体" w:hAnsi="宋体"/>
      <w:sz w:val="24"/>
      <w:szCs w:val="24"/>
    </w:rPr>
  </w:style>
  <w:style w:type="paragraph" w:customStyle="1" w:styleId="279">
    <w:name w:val="xl2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sz w:val="24"/>
      <w:szCs w:val="24"/>
    </w:rPr>
  </w:style>
  <w:style w:type="paragraph" w:customStyle="1" w:styleId="280">
    <w:name w:val="标题3"/>
    <w:basedOn w:val="1"/>
    <w:next w:val="1"/>
    <w:qFormat/>
    <w:uiPriority w:val="0"/>
    <w:pPr>
      <w:spacing w:line="590" w:lineRule="atLeast"/>
      <w:ind w:firstLine="624"/>
    </w:pPr>
    <w:rPr>
      <w:rFonts w:ascii="方正黑体_GBK" w:hAnsi="Times New Roman" w:eastAsia="方正黑体_GBK"/>
      <w:sz w:val="32"/>
      <w:szCs w:val="32"/>
    </w:rPr>
  </w:style>
  <w:style w:type="paragraph" w:customStyle="1" w:styleId="281">
    <w:name w:val="Blockquote"/>
    <w:basedOn w:val="1"/>
    <w:qFormat/>
    <w:uiPriority w:val="0"/>
    <w:pPr>
      <w:spacing w:before="100" w:after="100"/>
      <w:ind w:left="360" w:right="360"/>
      <w:jc w:val="left"/>
    </w:pPr>
    <w:rPr>
      <w:rFonts w:ascii="Times New Roman" w:hAnsi="Times New Roman"/>
      <w:sz w:val="24"/>
    </w:rPr>
  </w:style>
  <w:style w:type="paragraph" w:customStyle="1" w:styleId="282">
    <w:name w:val="table_lines"/>
    <w:basedOn w:val="1"/>
    <w:qFormat/>
    <w:uiPriority w:val="0"/>
    <w:pPr>
      <w:widowControl/>
      <w:jc w:val="left"/>
    </w:pPr>
    <w:rPr>
      <w:rFonts w:ascii="Times New Roman" w:hAnsi="Times New Roman"/>
      <w:sz w:val="20"/>
      <w:lang w:val="de-DE" w:eastAsia="de-DE"/>
    </w:rPr>
  </w:style>
  <w:style w:type="paragraph" w:customStyle="1" w:styleId="283">
    <w:name w:val="Char"/>
    <w:basedOn w:val="211"/>
    <w:qFormat/>
    <w:uiPriority w:val="0"/>
    <w:rPr>
      <w:rFonts w:ascii="Tahoma" w:hAnsi="Tahoma"/>
      <w:sz w:val="24"/>
      <w:szCs w:val="24"/>
    </w:rPr>
  </w:style>
  <w:style w:type="paragraph" w:customStyle="1" w:styleId="284">
    <w:name w:val="纯文本1"/>
    <w:basedOn w:val="1"/>
    <w:qFormat/>
    <w:uiPriority w:val="0"/>
    <w:rPr>
      <w:rFonts w:ascii="宋体" w:hAnsi="Courier New" w:cs="Courier New"/>
      <w:sz w:val="20"/>
      <w:szCs w:val="21"/>
    </w:rPr>
  </w:style>
  <w:style w:type="paragraph" w:customStyle="1" w:styleId="285">
    <w:name w:val="Char Char Char Char"/>
    <w:basedOn w:val="211"/>
    <w:qFormat/>
    <w:uiPriority w:val="0"/>
    <w:pPr>
      <w:spacing w:line="360" w:lineRule="auto"/>
    </w:pPr>
    <w:rPr>
      <w:rFonts w:ascii="Tahoma" w:hAnsi="Tahoma"/>
      <w:sz w:val="24"/>
      <w:szCs w:val="24"/>
    </w:rPr>
  </w:style>
  <w:style w:type="paragraph" w:customStyle="1" w:styleId="286">
    <w:name w:val="font7"/>
    <w:basedOn w:val="1"/>
    <w:qFormat/>
    <w:uiPriority w:val="0"/>
    <w:pPr>
      <w:widowControl/>
      <w:spacing w:before="100" w:beforeAutospacing="1" w:after="100" w:afterAutospacing="1"/>
      <w:jc w:val="left"/>
    </w:pPr>
    <w:rPr>
      <w:rFonts w:hint="eastAsia" w:ascii="宋体" w:hAnsi="宋体"/>
      <w:sz w:val="18"/>
      <w:szCs w:val="18"/>
    </w:rPr>
  </w:style>
  <w:style w:type="paragraph" w:customStyle="1" w:styleId="287">
    <w:name w:val="xl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sz w:val="24"/>
      <w:szCs w:val="24"/>
    </w:rPr>
  </w:style>
  <w:style w:type="paragraph" w:customStyle="1" w:styleId="288">
    <w:name w:val="xl25"/>
    <w:basedOn w:val="1"/>
    <w:qFormat/>
    <w:uiPriority w:val="0"/>
    <w:pPr>
      <w:widowControl/>
      <w:spacing w:before="100" w:beforeAutospacing="1" w:after="100" w:afterAutospacing="1"/>
      <w:jc w:val="center"/>
    </w:pPr>
    <w:rPr>
      <w:rFonts w:ascii="Arial Unicode MS" w:hAnsi="Arial Unicode MS" w:eastAsia="Arial Unicode MS" w:cs="Arial Unicode MS"/>
      <w:sz w:val="24"/>
      <w:szCs w:val="24"/>
    </w:rPr>
  </w:style>
  <w:style w:type="paragraph" w:customStyle="1" w:styleId="289">
    <w:name w:val="图标"/>
    <w:basedOn w:val="1"/>
    <w:next w:val="1"/>
    <w:qFormat/>
    <w:uiPriority w:val="0"/>
    <w:pPr>
      <w:tabs>
        <w:tab w:val="left" w:pos="567"/>
        <w:tab w:val="left" w:pos="840"/>
      </w:tabs>
      <w:spacing w:before="120" w:after="120" w:line="320" w:lineRule="atLeast"/>
      <w:ind w:left="840" w:hanging="420"/>
      <w:jc w:val="center"/>
    </w:pPr>
    <w:rPr>
      <w:rFonts w:ascii="Times New Roman" w:hAnsi="Times New Roman" w:eastAsia="仿宋_GB2312"/>
      <w:sz w:val="24"/>
    </w:rPr>
  </w:style>
  <w:style w:type="paragraph" w:customStyle="1" w:styleId="290">
    <w:name w:val="p0"/>
    <w:basedOn w:val="1"/>
    <w:qFormat/>
    <w:uiPriority w:val="0"/>
    <w:pPr>
      <w:widowControl/>
    </w:pPr>
    <w:rPr>
      <w:rFonts w:hint="eastAsia" w:ascii="Times New Roman" w:hAnsi="Times New Roman"/>
      <w:szCs w:val="21"/>
    </w:rPr>
  </w:style>
  <w:style w:type="paragraph" w:customStyle="1" w:styleId="291">
    <w:name w:val="样式1"/>
    <w:basedOn w:val="1"/>
    <w:qFormat/>
    <w:uiPriority w:val="0"/>
    <w:pPr>
      <w:numPr>
        <w:ilvl w:val="0"/>
        <w:numId w:val="2"/>
      </w:numPr>
    </w:pPr>
    <w:rPr>
      <w:rFonts w:ascii="宋体" w:hAnsi="宋体"/>
      <w:szCs w:val="21"/>
    </w:rPr>
  </w:style>
  <w:style w:type="paragraph" w:customStyle="1" w:styleId="292">
    <w:name w:val="标题1"/>
    <w:basedOn w:val="1"/>
    <w:next w:val="1"/>
    <w:qFormat/>
    <w:uiPriority w:val="0"/>
    <w:pPr>
      <w:tabs>
        <w:tab w:val="left" w:pos="9193"/>
        <w:tab w:val="left" w:pos="9827"/>
      </w:tabs>
      <w:spacing w:line="700" w:lineRule="atLeast"/>
      <w:jc w:val="center"/>
    </w:pPr>
    <w:rPr>
      <w:rFonts w:ascii="方正小标宋_GBK" w:hAnsi="Times New Roman" w:eastAsia="方正小标宋_GBK"/>
      <w:sz w:val="44"/>
    </w:rPr>
  </w:style>
  <w:style w:type="paragraph" w:customStyle="1" w:styleId="293">
    <w:name w:val="TOC 标题"/>
    <w:basedOn w:val="187"/>
    <w:next w:val="1"/>
    <w:qFormat/>
    <w:uiPriority w:val="0"/>
    <w:pPr>
      <w:keepLines/>
      <w:widowControl/>
      <w:spacing w:before="480" w:line="276" w:lineRule="auto"/>
      <w:jc w:val="left"/>
      <w:outlineLvl w:val="9"/>
    </w:pPr>
    <w:rPr>
      <w:rFonts w:ascii="Cambria" w:hAnsi="Cambria" w:eastAsia="宋体"/>
      <w:b/>
      <w:bCs/>
      <w:color w:val="365F91"/>
    </w:rPr>
  </w:style>
  <w:style w:type="paragraph" w:customStyle="1" w:styleId="294">
    <w:name w:val="4"/>
    <w:basedOn w:val="1"/>
    <w:next w:val="38"/>
    <w:qFormat/>
    <w:uiPriority w:val="0"/>
    <w:pPr>
      <w:spacing w:line="360" w:lineRule="auto"/>
      <w:ind w:firstLine="420"/>
    </w:pPr>
    <w:rPr>
      <w:rFonts w:ascii="Times New Roman" w:hAnsi="Times New Roman"/>
      <w:color w:val="FF0000"/>
      <w:sz w:val="24"/>
      <w:szCs w:val="24"/>
    </w:rPr>
  </w:style>
  <w:style w:type="paragraph" w:customStyle="1" w:styleId="295">
    <w:name w:val="xl2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sz w:val="24"/>
      <w:szCs w:val="24"/>
    </w:rPr>
  </w:style>
  <w:style w:type="paragraph" w:customStyle="1" w:styleId="296">
    <w:name w:val="列表段落"/>
    <w:basedOn w:val="1"/>
    <w:qFormat/>
    <w:uiPriority w:val="0"/>
    <w:pPr>
      <w:widowControl/>
      <w:ind w:left="720"/>
      <w:contextualSpacing/>
      <w:jc w:val="left"/>
    </w:pPr>
    <w:rPr>
      <w:sz w:val="24"/>
      <w:szCs w:val="24"/>
      <w:lang w:eastAsia="en-US" w:bidi="en-US"/>
    </w:rPr>
  </w:style>
  <w:style w:type="paragraph" w:customStyle="1" w:styleId="297">
    <w:name w:val="附录1"/>
    <w:qFormat/>
    <w:uiPriority w:val="0"/>
    <w:pPr>
      <w:numPr>
        <w:ilvl w:val="0"/>
        <w:numId w:val="3"/>
      </w:numPr>
      <w:spacing w:before="240" w:line="600" w:lineRule="atLeast"/>
    </w:pPr>
    <w:rPr>
      <w:rFonts w:hint="default" w:ascii="Calibri" w:hAnsi="Calibri" w:eastAsia="宋体" w:cs="Times New Roman"/>
      <w:b/>
      <w:i/>
      <w:sz w:val="28"/>
      <w:lang w:val="en-US" w:eastAsia="zh-CN" w:bidi="ar-SA"/>
    </w:rPr>
  </w:style>
  <w:style w:type="paragraph" w:customStyle="1" w:styleId="298">
    <w:name w:val="Default"/>
    <w:qFormat/>
    <w:uiPriority w:val="0"/>
    <w:pPr>
      <w:widowControl w:val="0"/>
    </w:pPr>
    <w:rPr>
      <w:rFonts w:hint="default" w:ascii="宋体" w:hAnsi="Calibri" w:eastAsia="宋体" w:cs="宋体"/>
      <w:color w:val="000000"/>
      <w:sz w:val="24"/>
      <w:szCs w:val="24"/>
      <w:lang w:val="en-US" w:eastAsia="zh-CN" w:bidi="ar-SA"/>
    </w:rPr>
  </w:style>
  <w:style w:type="paragraph" w:customStyle="1" w:styleId="299">
    <w:name w:val="普通 (Web)"/>
    <w:basedOn w:val="1"/>
    <w:qFormat/>
    <w:uiPriority w:val="0"/>
    <w:pPr>
      <w:widowControl/>
      <w:spacing w:before="100" w:beforeAutospacing="1" w:after="100" w:afterAutospacing="1"/>
      <w:jc w:val="left"/>
    </w:pPr>
    <w:rPr>
      <w:rFonts w:ascii="宋体" w:hAnsi="宋体"/>
      <w:sz w:val="24"/>
      <w:szCs w:val="24"/>
    </w:rPr>
  </w:style>
  <w:style w:type="paragraph" w:customStyle="1" w:styleId="300">
    <w:name w:val="font5"/>
    <w:basedOn w:val="1"/>
    <w:qFormat/>
    <w:uiPriority w:val="0"/>
    <w:pPr>
      <w:widowControl/>
      <w:spacing w:before="100" w:beforeAutospacing="1" w:after="100" w:afterAutospacing="1"/>
      <w:jc w:val="left"/>
    </w:pPr>
    <w:rPr>
      <w:rFonts w:hint="eastAsia" w:ascii="宋体" w:hAnsi="宋体"/>
      <w:sz w:val="28"/>
      <w:szCs w:val="28"/>
    </w:rPr>
  </w:style>
  <w:style w:type="paragraph" w:customStyle="1" w:styleId="301">
    <w:name w:val="xl24"/>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sz w:val="24"/>
      <w:szCs w:val="24"/>
    </w:rPr>
  </w:style>
  <w:style w:type="paragraph" w:customStyle="1" w:styleId="302">
    <w:name w:val="样式 标题 3 + (中文) 黑体 小四 非加粗 段前: 7.8 磅 段后: 0 磅 行距: 固定值 20 磅"/>
    <w:basedOn w:val="190"/>
    <w:qFormat/>
    <w:uiPriority w:val="0"/>
    <w:pPr>
      <w:spacing w:before="0" w:after="0" w:line="400" w:lineRule="exact"/>
    </w:pPr>
    <w:rPr>
      <w:rFonts w:hint="eastAsia" w:eastAsia="黑体"/>
      <w:b w:val="0"/>
      <w:bCs w:val="0"/>
      <w:sz w:val="24"/>
      <w:szCs w:val="21"/>
    </w:rPr>
  </w:style>
  <w:style w:type="paragraph" w:customStyle="1" w:styleId="303">
    <w:name w:val="Body Text(ch)"/>
    <w:basedOn w:val="1"/>
    <w:next w:val="215"/>
    <w:qFormat/>
    <w:uiPriority w:val="0"/>
    <w:pPr>
      <w:spacing w:after="120"/>
    </w:pPr>
    <w:rPr>
      <w:rFonts w:ascii="宋体" w:hAnsi="Arial"/>
      <w:bCs/>
      <w:iCs/>
      <w:szCs w:val="24"/>
    </w:rPr>
  </w:style>
  <w:style w:type="paragraph" w:customStyle="1" w:styleId="304">
    <w:name w:val="xl30"/>
    <w:basedOn w:val="1"/>
    <w:qFormat/>
    <w:uiPriority w:val="0"/>
    <w:pPr>
      <w:widowControl/>
      <w:spacing w:before="100" w:beforeAutospacing="1" w:after="100" w:afterAutospacing="1"/>
      <w:jc w:val="center"/>
    </w:pPr>
    <w:rPr>
      <w:rFonts w:ascii="宋体" w:hAnsi="宋体"/>
      <w:b/>
      <w:bCs/>
      <w:sz w:val="36"/>
      <w:szCs w:val="36"/>
    </w:rPr>
  </w:style>
  <w:style w:type="paragraph" w:customStyle="1" w:styleId="305">
    <w:name w:val="Char Char Char Char Char Char Char Char"/>
    <w:basedOn w:val="1"/>
    <w:qFormat/>
    <w:uiPriority w:val="0"/>
    <w:pPr>
      <w:widowControl/>
      <w:spacing w:after="160" w:line="240" w:lineRule="exact"/>
      <w:jc w:val="left"/>
    </w:pPr>
    <w:rPr>
      <w:rFonts w:ascii="Verdana" w:hAnsi="Verdana"/>
      <w:sz w:val="20"/>
      <w:lang w:eastAsia="en-US"/>
    </w:rPr>
  </w:style>
  <w:style w:type="paragraph" w:customStyle="1" w:styleId="306">
    <w:name w:val="普通正文"/>
    <w:basedOn w:val="1"/>
    <w:qFormat/>
    <w:uiPriority w:val="0"/>
    <w:pPr>
      <w:spacing w:before="120" w:after="120" w:line="360" w:lineRule="auto"/>
      <w:ind w:firstLine="480"/>
      <w:jc w:val="left"/>
    </w:pPr>
    <w:rPr>
      <w:rFonts w:ascii="Arial" w:hAnsi="Arial"/>
      <w:sz w:val="24"/>
      <w:szCs w:val="24"/>
    </w:rPr>
  </w:style>
  <w:style w:type="paragraph" w:customStyle="1" w:styleId="307">
    <w:name w:val="table_1stline"/>
    <w:basedOn w:val="1"/>
    <w:qFormat/>
    <w:uiPriority w:val="0"/>
    <w:pPr>
      <w:widowControl/>
      <w:spacing w:before="120"/>
      <w:jc w:val="left"/>
    </w:pPr>
    <w:rPr>
      <w:rFonts w:ascii="Times New Roman" w:hAnsi="Times New Roman"/>
      <w:bCs/>
      <w:sz w:val="20"/>
      <w:lang w:val="de-DE" w:eastAsia="de-DE"/>
    </w:rPr>
  </w:style>
  <w:style w:type="paragraph" w:customStyle="1" w:styleId="308">
    <w:name w:val="Char1"/>
    <w:basedOn w:val="1"/>
    <w:qFormat/>
    <w:uiPriority w:val="0"/>
    <w:pPr>
      <w:tabs>
        <w:tab w:val="left" w:pos="360"/>
      </w:tabs>
    </w:pPr>
    <w:rPr>
      <w:rFonts w:ascii="Times New Roman" w:hAnsi="Times New Roman"/>
      <w:sz w:val="24"/>
      <w:szCs w:val="24"/>
    </w:rPr>
  </w:style>
  <w:style w:type="paragraph" w:customStyle="1" w:styleId="309">
    <w:name w:val="Char Char Char Char Char Char Char Char1"/>
    <w:basedOn w:val="1"/>
    <w:qFormat/>
    <w:uiPriority w:val="0"/>
    <w:pPr>
      <w:widowControl/>
      <w:spacing w:after="160" w:line="240" w:lineRule="exact"/>
      <w:jc w:val="left"/>
    </w:pPr>
    <w:rPr>
      <w:rFonts w:ascii="Verdana" w:hAnsi="Verdana"/>
      <w:sz w:val="20"/>
      <w:lang w:eastAsia="en-US"/>
    </w:rPr>
  </w:style>
  <w:style w:type="paragraph" w:customStyle="1" w:styleId="310">
    <w:name w:val="Char Char Char Char1"/>
    <w:basedOn w:val="211"/>
    <w:qFormat/>
    <w:uiPriority w:val="0"/>
    <w:pPr>
      <w:spacing w:line="360" w:lineRule="auto"/>
    </w:pPr>
    <w:rPr>
      <w:rFonts w:ascii="Tahoma" w:hAnsi="Tahoma"/>
      <w:sz w:val="24"/>
      <w:szCs w:val="24"/>
    </w:rPr>
  </w:style>
  <w:style w:type="character" w:customStyle="1" w:styleId="311">
    <w:name w:val="font21"/>
    <w:basedOn w:val="33"/>
    <w:qFormat/>
    <w:uiPriority w:val="0"/>
    <w:rPr>
      <w:rFonts w:hint="eastAsia" w:ascii="等线" w:hAnsi="等线" w:eastAsia="等线" w:cs="等线"/>
      <w:color w:val="00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name="">
      <a:fillStyleLst>
        <a:solidFill>
          <a:schemeClr val="phClr"/>
        </a:solidFill>
        <a:solidFill>
          <a:srgbClr val="FFFFFF"/>
        </a:solidFill>
        <a:solidFill>
          <a:srgbClr val="FFFFFF"/>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Template>
  <Company>微软</Company>
  <Pages>56</Pages>
  <Words>4359</Words>
  <Characters>4676</Characters>
  <TotalTime>26</TotalTime>
  <ScaleCrop>false</ScaleCrop>
  <LinksUpToDate>false</LinksUpToDate>
  <CharactersWithSpaces>4766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2023-06-14T19:19:00Z</dcterms:created>
  <dc:creator>田长</dc:creator>
  <cp:lastModifiedBy>刘巍-南京</cp:lastModifiedBy>
  <dcterms:modified xsi:type="dcterms:W3CDTF">2025-12-02T07:23:49Z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eyJoZGlkIjoiMGI5NTY1MzQyZTM2YmE5MmFjZTQ0MGRlM2RkZmQwMzUiLCJ1c2VySWQiOiIyNjU0MTMxMTUifQ==</vt:lpwstr>
  </property>
  <property fmtid="{D5CDD505-2E9C-101B-9397-08002B2CF9AE}" pid="3" name="KSOProductBuildVer">
    <vt:lpwstr>2052-12.1.0.23542</vt:lpwstr>
  </property>
  <property fmtid="{D5CDD505-2E9C-101B-9397-08002B2CF9AE}" pid="4" name="ICV">
    <vt:lpwstr>103F46BA6A02C3C241B0D46867FDAC48_43</vt:lpwstr>
  </property>
</Properties>
</file>