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left"/>
        <w:outlineLvl w:val="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附件2-1</w:t>
      </w:r>
    </w:p>
    <w:p>
      <w:pPr>
        <w:widowControl/>
        <w:jc w:val="left"/>
        <w:rPr>
          <w:rFonts w:ascii="方正黑体_GBK" w:eastAsia="方正黑体_GBK"/>
          <w:szCs w:val="32"/>
        </w:rPr>
      </w:pPr>
    </w:p>
    <w:p>
      <w:pPr>
        <w:spacing w:line="248" w:lineRule="auto"/>
      </w:pPr>
    </w:p>
    <w:p>
      <w:pPr>
        <w:spacing w:before="224" w:line="293" w:lineRule="auto"/>
        <w:ind w:right="514"/>
        <w:jc w:val="center"/>
        <w:rPr>
          <w:rFonts w:eastAsia="方正小标宋_GBK"/>
          <w:spacing w:val="9"/>
          <w:sz w:val="68"/>
          <w:szCs w:val="68"/>
        </w:rPr>
      </w:pPr>
      <w:bookmarkStart w:id="0" w:name="_GoBack"/>
      <w:r>
        <w:rPr>
          <w:rFonts w:hint="eastAsia" w:eastAsia="方正小标宋_GBK"/>
          <w:spacing w:val="19"/>
          <w:sz w:val="68"/>
          <w:szCs w:val="68"/>
        </w:rPr>
        <w:t>“</w:t>
      </w:r>
      <w:r>
        <w:rPr>
          <w:rFonts w:eastAsia="方正小标宋_GBK"/>
          <w:spacing w:val="19"/>
          <w:sz w:val="68"/>
          <w:szCs w:val="68"/>
        </w:rPr>
        <w:t>苏体贷</w:t>
      </w:r>
      <w:r>
        <w:rPr>
          <w:rFonts w:hint="eastAsia" w:eastAsia="方正小标宋_GBK"/>
          <w:spacing w:val="19"/>
          <w:sz w:val="68"/>
          <w:szCs w:val="68"/>
        </w:rPr>
        <w:t>”</w:t>
      </w:r>
      <w:r>
        <w:rPr>
          <w:rFonts w:eastAsia="方正小标宋_GBK"/>
          <w:spacing w:val="19"/>
          <w:sz w:val="68"/>
          <w:szCs w:val="68"/>
        </w:rPr>
        <w:t>金融</w:t>
      </w:r>
      <w:r>
        <w:rPr>
          <w:rFonts w:hint="eastAsia" w:eastAsia="方正小标宋_GBK"/>
          <w:spacing w:val="19"/>
          <w:sz w:val="68"/>
          <w:szCs w:val="68"/>
        </w:rPr>
        <w:t>产品</w:t>
      </w:r>
      <w:r>
        <w:rPr>
          <w:rFonts w:eastAsia="方正小标宋_GBK"/>
          <w:spacing w:val="9"/>
          <w:sz w:val="68"/>
          <w:szCs w:val="68"/>
        </w:rPr>
        <w:t>业务</w:t>
      </w:r>
    </w:p>
    <w:p>
      <w:pPr>
        <w:spacing w:before="224" w:line="293" w:lineRule="auto"/>
        <w:ind w:right="514"/>
        <w:jc w:val="center"/>
        <w:rPr>
          <w:rFonts w:eastAsia="方正小标宋_GBK"/>
          <w:sz w:val="68"/>
          <w:szCs w:val="68"/>
        </w:rPr>
      </w:pPr>
      <w:r>
        <w:rPr>
          <w:rFonts w:eastAsia="方正小标宋_GBK"/>
          <w:spacing w:val="9"/>
          <w:sz w:val="68"/>
          <w:szCs w:val="68"/>
        </w:rPr>
        <w:t>合作承诺书</w:t>
      </w:r>
      <w:bookmarkEnd w:id="0"/>
    </w:p>
    <w:p>
      <w:pPr>
        <w:spacing w:line="244" w:lineRule="auto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（合作银行版）</w:t>
      </w:r>
    </w:p>
    <w:p>
      <w:pPr>
        <w:spacing w:line="244" w:lineRule="auto"/>
      </w:pPr>
    </w:p>
    <w:p>
      <w:pPr>
        <w:spacing w:line="244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before="101" w:line="225" w:lineRule="auto"/>
        <w:ind w:left="3420"/>
        <w:rPr>
          <w:rFonts w:eastAsia="方正楷体_GBK"/>
          <w:spacing w:val="-11"/>
          <w:szCs w:val="32"/>
        </w:rPr>
      </w:pPr>
      <w:r>
        <w:rPr>
          <w:rFonts w:eastAsia="方正楷体_GBK"/>
          <w:spacing w:val="-11"/>
          <w:szCs w:val="32"/>
        </w:rPr>
        <w:t>2</w:t>
      </w:r>
      <w:r>
        <w:rPr>
          <w:rFonts w:eastAsia="方正楷体_GBK"/>
          <w:spacing w:val="-62"/>
          <w:szCs w:val="32"/>
        </w:rPr>
        <w:t xml:space="preserve"> </w:t>
      </w:r>
      <w:r>
        <w:rPr>
          <w:rFonts w:eastAsia="方正楷体_GBK"/>
          <w:spacing w:val="-11"/>
          <w:szCs w:val="32"/>
        </w:rPr>
        <w:t>0</w:t>
      </w:r>
      <w:r>
        <w:rPr>
          <w:rFonts w:eastAsia="方正楷体_GBK"/>
          <w:spacing w:val="-62"/>
          <w:szCs w:val="32"/>
        </w:rPr>
        <w:t xml:space="preserve"> </w:t>
      </w:r>
      <w:r>
        <w:rPr>
          <w:rFonts w:eastAsia="方正楷体_GBK"/>
          <w:spacing w:val="-11"/>
          <w:szCs w:val="32"/>
        </w:rPr>
        <w:t>2</w:t>
      </w:r>
      <w:r>
        <w:rPr>
          <w:rFonts w:eastAsia="方正楷体_GBK"/>
          <w:spacing w:val="-67"/>
          <w:szCs w:val="32"/>
        </w:rPr>
        <w:t xml:space="preserve"> </w:t>
      </w:r>
      <w:r>
        <w:rPr>
          <w:rFonts w:hint="eastAsia" w:eastAsia="方正楷体_GBK"/>
          <w:spacing w:val="-67"/>
          <w:szCs w:val="32"/>
        </w:rPr>
        <w:t>6</w:t>
      </w:r>
      <w:r>
        <w:rPr>
          <w:rFonts w:eastAsia="方正楷体_GBK"/>
          <w:spacing w:val="-59"/>
          <w:szCs w:val="32"/>
        </w:rPr>
        <w:t xml:space="preserve"> </w:t>
      </w:r>
      <w:r>
        <w:rPr>
          <w:rFonts w:eastAsia="方正楷体_GBK"/>
          <w:spacing w:val="-11"/>
          <w:szCs w:val="32"/>
        </w:rPr>
        <w:t>年</w:t>
      </w:r>
      <w:r>
        <w:rPr>
          <w:rFonts w:eastAsia="方正楷体_GBK"/>
          <w:spacing w:val="-67"/>
          <w:szCs w:val="32"/>
        </w:rPr>
        <w:t xml:space="preserve">       </w:t>
      </w:r>
      <w:r>
        <w:rPr>
          <w:rFonts w:eastAsia="方正楷体_GBK"/>
          <w:spacing w:val="-11"/>
          <w:szCs w:val="32"/>
        </w:rPr>
        <w:t>月</w:t>
      </w:r>
    </w:p>
    <w:p>
      <w:pPr>
        <w:spacing w:line="580" w:lineRule="exact"/>
        <w:ind w:firstLine="640" w:firstLineChars="200"/>
        <w:rPr>
          <w:rFonts w:hint="eastAsia" w:ascii="方正仿宋_GBK" w:hAnsi="仿宋" w:eastAsia="方正仿宋_GBK"/>
          <w:bCs/>
          <w:szCs w:val="32"/>
        </w:rPr>
      </w:pPr>
      <w:r>
        <w:rPr>
          <w:rFonts w:ascii="方正仿宋_GBK" w:hAnsi="仿宋" w:eastAsia="方正仿宋_GBK"/>
          <w:bCs/>
          <w:szCs w:val="32"/>
        </w:rPr>
        <w:t>根据《202</w:t>
      </w:r>
      <w:r>
        <w:rPr>
          <w:rFonts w:hint="eastAsia" w:ascii="方正仿宋_GBK" w:hAnsi="仿宋" w:eastAsia="方正仿宋_GBK"/>
          <w:bCs/>
          <w:szCs w:val="32"/>
        </w:rPr>
        <w:t>6</w:t>
      </w:r>
      <w:r>
        <w:rPr>
          <w:rFonts w:ascii="方正仿宋_GBK" w:hAnsi="仿宋" w:eastAsia="方正仿宋_GBK"/>
          <w:bCs/>
          <w:szCs w:val="32"/>
        </w:rPr>
        <w:t>年</w:t>
      </w:r>
      <w:r>
        <w:rPr>
          <w:rFonts w:hint="eastAsia" w:ascii="方正仿宋_GBK" w:hAnsi="仿宋" w:eastAsia="方正仿宋_GBK"/>
          <w:bCs/>
          <w:szCs w:val="32"/>
        </w:rPr>
        <w:t>江苏省</w:t>
      </w:r>
      <w:r>
        <w:rPr>
          <w:rFonts w:ascii="方正仿宋_GBK" w:hAnsi="仿宋" w:eastAsia="方正仿宋_GBK"/>
          <w:bCs/>
          <w:szCs w:val="32"/>
        </w:rPr>
        <w:t>“苏体贷”金融</w:t>
      </w:r>
      <w:r>
        <w:rPr>
          <w:rFonts w:hint="eastAsia" w:ascii="方正仿宋_GBK" w:hAnsi="仿宋" w:eastAsia="方正仿宋_GBK"/>
          <w:bCs/>
          <w:szCs w:val="32"/>
        </w:rPr>
        <w:t>产品及支持</w:t>
      </w:r>
      <w:r>
        <w:rPr>
          <w:rFonts w:ascii="方正仿宋_GBK" w:hAnsi="仿宋" w:eastAsia="方正仿宋_GBK"/>
          <w:bCs/>
          <w:szCs w:val="32"/>
        </w:rPr>
        <w:t>政策</w:t>
      </w:r>
      <w:r>
        <w:rPr>
          <w:rFonts w:hint="eastAsia" w:ascii="方正仿宋_GBK" w:hAnsi="仿宋" w:eastAsia="方正仿宋_GBK"/>
          <w:bCs/>
          <w:szCs w:val="32"/>
        </w:rPr>
        <w:t>试点</w:t>
      </w:r>
      <w:r>
        <w:rPr>
          <w:rFonts w:ascii="方正仿宋_GBK" w:hAnsi="仿宋" w:eastAsia="方正仿宋_GBK"/>
          <w:bCs/>
          <w:szCs w:val="32"/>
        </w:rPr>
        <w:t>方案》</w:t>
      </w:r>
      <w:r>
        <w:rPr>
          <w:rFonts w:hint="eastAsia" w:ascii="方正仿宋_GBK" w:hAnsi="仿宋" w:eastAsia="方正仿宋_GBK"/>
          <w:bCs/>
          <w:szCs w:val="32"/>
        </w:rPr>
        <w:t>（</w:t>
      </w:r>
      <w:r>
        <w:rPr>
          <w:rFonts w:ascii="方正仿宋_GBK" w:hAnsi="仿宋" w:eastAsia="方正仿宋_GBK"/>
          <w:bCs/>
          <w:szCs w:val="32"/>
        </w:rPr>
        <w:t>以下简称《方案》</w:t>
      </w:r>
      <w:r>
        <w:rPr>
          <w:rFonts w:hint="eastAsia" w:ascii="方正仿宋_GBK" w:hAnsi="仿宋" w:eastAsia="方正仿宋_GBK"/>
          <w:bCs/>
          <w:szCs w:val="32"/>
        </w:rPr>
        <w:t>）</w:t>
      </w:r>
      <w:r>
        <w:rPr>
          <w:rFonts w:ascii="方正仿宋_GBK" w:hAnsi="仿宋" w:eastAsia="方正仿宋_GBK"/>
          <w:bCs/>
          <w:szCs w:val="32"/>
        </w:rPr>
        <w:t>，我行响应各项工作要求，积极参与“苏体贷”贴息业务工作，加大金融资本对全省体育产业发展支持力度。具体承诺如下：</w:t>
      </w:r>
    </w:p>
    <w:p>
      <w:pPr>
        <w:spacing w:line="580" w:lineRule="exact"/>
        <w:ind w:firstLine="640" w:firstLineChars="200"/>
        <w:rPr>
          <w:rFonts w:hint="eastAsia" w:ascii="方正仿宋_GBK" w:hAnsi="仿宋" w:eastAsia="方正仿宋_GBK"/>
          <w:bCs/>
          <w:szCs w:val="32"/>
        </w:rPr>
      </w:pPr>
      <w:r>
        <w:rPr>
          <w:rFonts w:hint="eastAsia" w:ascii="方正黑体_GBK" w:hAnsi="仿宋" w:eastAsia="方正黑体_GBK"/>
          <w:bCs/>
          <w:szCs w:val="32"/>
        </w:rPr>
        <w:t>第一条</w:t>
      </w:r>
      <w:r>
        <w:rPr>
          <w:rFonts w:ascii="方正仿宋_GBK" w:hAnsi="仿宋" w:eastAsia="方正仿宋_GBK"/>
          <w:bCs/>
          <w:szCs w:val="32"/>
        </w:rPr>
        <w:t xml:space="preserve">  我行对在江苏省范围内注册</w:t>
      </w:r>
      <w:r>
        <w:rPr>
          <w:rFonts w:hint="eastAsia" w:ascii="方正仿宋_GBK" w:hAnsi="仿宋" w:eastAsia="方正仿宋_GBK"/>
          <w:bCs/>
          <w:szCs w:val="32"/>
        </w:rPr>
        <w:t>且符合相应标准</w:t>
      </w:r>
      <w:r>
        <w:rPr>
          <w:rFonts w:ascii="方正仿宋_GBK" w:hAnsi="仿宋" w:eastAsia="方正仿宋_GBK"/>
          <w:bCs/>
          <w:szCs w:val="32"/>
        </w:rPr>
        <w:t>的体育企业提供短期、中长期贷款支持，在系统内将其标注“苏体贷”。</w:t>
      </w:r>
    </w:p>
    <w:p>
      <w:pPr>
        <w:spacing w:line="580" w:lineRule="exact"/>
        <w:ind w:firstLine="640" w:firstLineChars="200"/>
        <w:rPr>
          <w:rFonts w:hint="eastAsia" w:ascii="方正仿宋_GBK" w:hAnsi="仿宋" w:eastAsia="方正仿宋_GBK"/>
          <w:bCs/>
          <w:szCs w:val="32"/>
        </w:rPr>
      </w:pPr>
      <w:r>
        <w:rPr>
          <w:rFonts w:ascii="方正黑体_GBK" w:hAnsi="仿宋" w:eastAsia="方正黑体_GBK"/>
          <w:bCs/>
          <w:szCs w:val="32"/>
        </w:rPr>
        <w:t>第二条</w:t>
      </w:r>
      <w:r>
        <w:rPr>
          <w:rFonts w:ascii="方正仿宋_GBK" w:hAnsi="仿宋" w:eastAsia="方正仿宋_GBK"/>
          <w:bCs/>
          <w:szCs w:val="32"/>
        </w:rPr>
        <w:t xml:space="preserve">  “苏体贷”利率不高于贷款发放时适用的贷款市场报价利率LPR+80BP。与企业签订合同时，要求企业同步签订信用承诺，避免出现信息造假、套取骗取贴息资金等问题。</w:t>
      </w:r>
    </w:p>
    <w:p>
      <w:pPr>
        <w:spacing w:line="580" w:lineRule="exact"/>
        <w:ind w:firstLine="640" w:firstLineChars="200"/>
        <w:rPr>
          <w:rFonts w:hint="eastAsia" w:ascii="方正仿宋_GBK" w:hAnsi="仿宋" w:eastAsia="方正仿宋_GBK"/>
          <w:bCs/>
          <w:szCs w:val="32"/>
        </w:rPr>
      </w:pPr>
      <w:r>
        <w:rPr>
          <w:rFonts w:ascii="方正黑体_GBK" w:hAnsi="仿宋" w:eastAsia="方正黑体_GBK"/>
          <w:bCs/>
          <w:szCs w:val="32"/>
        </w:rPr>
        <w:t>第三条</w:t>
      </w:r>
      <w:r>
        <w:rPr>
          <w:rFonts w:ascii="方正仿宋_GBK" w:hAnsi="仿宋" w:eastAsia="方正仿宋_GBK"/>
          <w:bCs/>
          <w:szCs w:val="32"/>
        </w:rPr>
        <w:t xml:space="preserve">  “苏体贷”贴息业务按照《方案》明确的贴息对象、贴息范围和认定标准发放贷款，对新增地方政府隐性债务的项目不得发放贷款。</w:t>
      </w:r>
    </w:p>
    <w:p>
      <w:pPr>
        <w:widowControl w:val="0"/>
        <w:spacing w:after="0" w:line="580" w:lineRule="exact"/>
        <w:ind w:firstLine="64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第四条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我行具备系统和制度支撑，能够通过行内畅通的多级沟通渠道，确保完成“苏体贷”贴息业务工作（以下称“贴息工作”）各项任务。安排一名专职人员（姓名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,部门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手机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, 邮 箱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）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负责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日常工作。专职人员原则上在一个年度内保持不变。如人员岗位变动，将及时向省体育局书面说明并办理相应交接手续。</w:t>
      </w:r>
    </w:p>
    <w:p>
      <w:pPr>
        <w:widowControl w:val="0"/>
        <w:spacing w:after="0" w:line="580" w:lineRule="exact"/>
        <w:ind w:firstLine="64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 xml:space="preserve">第五条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坚持企业自愿，落实审贷责任，按市场化原则对项目贷款申请严格把关，做好贴息资金核定工作。</w:t>
      </w:r>
    </w:p>
    <w:p>
      <w:pPr>
        <w:widowControl w:val="0"/>
        <w:spacing w:after="0" w:line="580" w:lineRule="exact"/>
        <w:ind w:firstLine="640" w:firstLineChars="200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1．我行将按规定周期计算每个企业、每笔业务档期的贴息金额。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2．我行结合贷款贴息政策规定，按照贷款合同、利息凭证等佐证材料，按规定时限汇总测算贴息金额，及时按规定兑付贴息资金。</w:t>
      </w:r>
    </w:p>
    <w:p>
      <w:pPr>
        <w:widowControl w:val="0"/>
        <w:spacing w:after="0" w:line="580" w:lineRule="exact"/>
        <w:ind w:firstLine="684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第六条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严格按照要求筛选把关，避免关键信息填报错误，确保材料真实、数据准确。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第七条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负责借款企业的贷后管理，对借款企业的财务状况、经营状况、贷款资金的使用情况及相应担保等进行日常监督、防止贷款资金违规使用。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 xml:space="preserve">第八条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“苏体贷”产品原则上不支持企业提前还款，如因不可抗力或重大经营调整确需提前还款，按以下两种情形处理：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1．企业选择全额提前还款的，财政贴息计算截止至上一结息日。自上一结息日起至贷款实际结清日止期间产生的利息，不再纳入贴息补贴范围。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2．企业选择部分提前还款的，剩余贷款本金按原合同约定的贴息期限及利率继续享受补贴政策，贴息核算以实际余额为准。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3．我行在与企业签订贷款合同时会告知提前还款相关事项。企业须在提前还款5个工作日前，联系金融机构并提交书面材料（提前还款告知函），明确还款金额、还款时间，了解贴息权益调整相关事项。未履行告知义务导致贴息权益受到影响，风险由企业自行承担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第九条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收到拨付的贴息资金后实行专人专账管理，跟踪监督贴息资金使用情况，确保资金安全、合规、有效使用。于次年3月底前，做好上年度贴息资金支用情况总结，书面报送省体育局。</w:t>
      </w:r>
    </w:p>
    <w:p>
      <w:pPr>
        <w:widowControl w:val="0"/>
        <w:spacing w:after="0" w:line="580" w:lineRule="exact"/>
        <w:ind w:firstLine="67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 xml:space="preserve">第十条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自觉接受省体育局、省财政厅等部门监督检查。推进贴息工作存在明显疏漏时，同意取消合作，情节严重的，依法依规接受处理。</w:t>
      </w:r>
    </w:p>
    <w:p>
      <w:pPr>
        <w:spacing w:line="580" w:lineRule="exact"/>
        <w:rPr>
          <w:rFonts w:eastAsia="方正仿宋_GBK"/>
          <w:szCs w:val="32"/>
        </w:rPr>
      </w:pPr>
    </w:p>
    <w:p>
      <w:pPr>
        <w:spacing w:line="580" w:lineRule="exact"/>
        <w:rPr>
          <w:rFonts w:eastAsia="方正仿宋_GBK"/>
          <w:szCs w:val="32"/>
        </w:rPr>
      </w:pPr>
    </w:p>
    <w:p>
      <w:pPr>
        <w:spacing w:line="580" w:lineRule="exact"/>
        <w:rPr>
          <w:rFonts w:eastAsia="方正仿宋_GBK"/>
          <w:szCs w:val="32"/>
        </w:rPr>
      </w:pPr>
    </w:p>
    <w:p>
      <w:pPr>
        <w:spacing w:line="580" w:lineRule="exact"/>
        <w:rPr>
          <w:rFonts w:eastAsia="方正仿宋_GBK"/>
          <w:szCs w:val="32"/>
        </w:rPr>
      </w:pPr>
    </w:p>
    <w:p>
      <w:pPr>
        <w:spacing w:line="580" w:lineRule="exact"/>
        <w:rPr>
          <w:rFonts w:eastAsia="方正仿宋_GBK"/>
          <w:szCs w:val="32"/>
        </w:rPr>
      </w:pPr>
    </w:p>
    <w:p>
      <w:pPr>
        <w:widowControl w:val="0"/>
        <w:spacing w:after="0" w:line="580" w:lineRule="exact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申请单位（公章）：</w:t>
      </w:r>
    </w:p>
    <w:p>
      <w:pPr>
        <w:widowControl w:val="0"/>
        <w:spacing w:after="0" w:line="580" w:lineRule="exact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法定（或授权）代表人：</w:t>
      </w:r>
    </w:p>
    <w:p>
      <w:pPr>
        <w:widowControl w:val="0"/>
        <w:spacing w:after="0" w:line="580" w:lineRule="exact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申请时间：      年       月      日</w:t>
      </w:r>
    </w:p>
    <w:p>
      <w:pPr>
        <w:widowControl/>
        <w:jc w:val="left"/>
        <w:rPr>
          <w:rFonts w:hint="eastAsia" w:ascii="方正仿宋_GBK" w:hAnsi="华文仿宋" w:eastAsia="方正仿宋_GBK"/>
          <w:szCs w:val="32"/>
        </w:rPr>
      </w:pPr>
      <w:r>
        <w:rPr>
          <w:rFonts w:hint="eastAsia" w:ascii="方正仿宋_GBK" w:hAnsi="华文仿宋" w:eastAsia="方正仿宋_GBK"/>
          <w:szCs w:val="32"/>
        </w:rPr>
        <w:br w:type="page"/>
      </w:r>
    </w:p>
    <w:p>
      <w:pPr>
        <w:adjustRightInd w:val="0"/>
        <w:snapToGrid w:val="0"/>
        <w:spacing w:line="580" w:lineRule="exact"/>
        <w:jc w:val="left"/>
        <w:outlineLvl w:val="0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附件2-2</w:t>
      </w:r>
    </w:p>
    <w:p>
      <w:pPr>
        <w:widowControl/>
        <w:jc w:val="left"/>
        <w:rPr>
          <w:rFonts w:ascii="方正黑体_GBK" w:eastAsia="方正黑体_GBK"/>
          <w:szCs w:val="32"/>
        </w:rPr>
      </w:pPr>
    </w:p>
    <w:p>
      <w:pPr>
        <w:spacing w:line="248" w:lineRule="auto"/>
      </w:pPr>
    </w:p>
    <w:p>
      <w:pPr>
        <w:spacing w:before="224" w:line="293" w:lineRule="auto"/>
        <w:ind w:right="514"/>
        <w:jc w:val="center"/>
        <w:rPr>
          <w:rFonts w:eastAsia="方正小标宋_GBK"/>
          <w:spacing w:val="9"/>
          <w:sz w:val="68"/>
          <w:szCs w:val="68"/>
        </w:rPr>
      </w:pPr>
      <w:r>
        <w:rPr>
          <w:rFonts w:hint="eastAsia" w:eastAsia="方正小标宋_GBK"/>
          <w:spacing w:val="19"/>
          <w:sz w:val="68"/>
          <w:szCs w:val="68"/>
        </w:rPr>
        <w:t>“</w:t>
      </w:r>
      <w:r>
        <w:rPr>
          <w:rFonts w:eastAsia="方正小标宋_GBK"/>
          <w:spacing w:val="19"/>
          <w:sz w:val="68"/>
          <w:szCs w:val="68"/>
        </w:rPr>
        <w:t>苏体贷</w:t>
      </w:r>
      <w:r>
        <w:rPr>
          <w:rFonts w:hint="eastAsia" w:eastAsia="方正小标宋_GBK"/>
          <w:spacing w:val="19"/>
          <w:sz w:val="68"/>
          <w:szCs w:val="68"/>
        </w:rPr>
        <w:t>”</w:t>
      </w:r>
      <w:r>
        <w:rPr>
          <w:rFonts w:eastAsia="方正小标宋_GBK"/>
          <w:spacing w:val="19"/>
          <w:sz w:val="68"/>
          <w:szCs w:val="68"/>
        </w:rPr>
        <w:t>金融</w:t>
      </w:r>
      <w:r>
        <w:rPr>
          <w:rFonts w:hint="eastAsia" w:eastAsia="方正小标宋_GBK"/>
          <w:spacing w:val="19"/>
          <w:sz w:val="68"/>
          <w:szCs w:val="68"/>
        </w:rPr>
        <w:t>产品</w:t>
      </w:r>
      <w:r>
        <w:rPr>
          <w:rFonts w:eastAsia="方正小标宋_GBK"/>
          <w:spacing w:val="9"/>
          <w:sz w:val="68"/>
          <w:szCs w:val="68"/>
        </w:rPr>
        <w:t>业务</w:t>
      </w:r>
    </w:p>
    <w:p>
      <w:pPr>
        <w:spacing w:before="224" w:line="293" w:lineRule="auto"/>
        <w:ind w:right="514"/>
        <w:jc w:val="center"/>
        <w:rPr>
          <w:rFonts w:eastAsia="方正小标宋_GBK"/>
          <w:sz w:val="68"/>
          <w:szCs w:val="68"/>
        </w:rPr>
      </w:pPr>
      <w:r>
        <w:rPr>
          <w:rFonts w:eastAsia="方正小标宋_GBK"/>
          <w:spacing w:val="9"/>
          <w:sz w:val="68"/>
          <w:szCs w:val="68"/>
        </w:rPr>
        <w:t>合作承诺书</w:t>
      </w:r>
    </w:p>
    <w:p>
      <w:pPr>
        <w:spacing w:line="244" w:lineRule="auto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（担保机构版）</w:t>
      </w:r>
    </w:p>
    <w:p>
      <w:pPr>
        <w:spacing w:line="244" w:lineRule="auto"/>
      </w:pPr>
    </w:p>
    <w:p>
      <w:pPr>
        <w:spacing w:line="244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line="245" w:lineRule="auto"/>
      </w:pPr>
    </w:p>
    <w:p>
      <w:pPr>
        <w:spacing w:before="101" w:line="225" w:lineRule="auto"/>
        <w:ind w:left="3420"/>
        <w:rPr>
          <w:rFonts w:ascii="方正黑体_GBK" w:eastAsia="方正黑体_GBK"/>
          <w:szCs w:val="32"/>
        </w:rPr>
      </w:pPr>
      <w:r>
        <w:rPr>
          <w:rFonts w:eastAsia="方正楷体_GBK"/>
          <w:spacing w:val="-11"/>
          <w:szCs w:val="32"/>
        </w:rPr>
        <w:t>2</w:t>
      </w:r>
      <w:r>
        <w:rPr>
          <w:rFonts w:eastAsia="方正楷体_GBK"/>
          <w:spacing w:val="-62"/>
          <w:szCs w:val="32"/>
        </w:rPr>
        <w:t xml:space="preserve"> </w:t>
      </w:r>
      <w:r>
        <w:rPr>
          <w:rFonts w:eastAsia="方正楷体_GBK"/>
          <w:spacing w:val="-11"/>
          <w:szCs w:val="32"/>
        </w:rPr>
        <w:t>0</w:t>
      </w:r>
      <w:r>
        <w:rPr>
          <w:rFonts w:eastAsia="方正楷体_GBK"/>
          <w:spacing w:val="-62"/>
          <w:szCs w:val="32"/>
        </w:rPr>
        <w:t xml:space="preserve"> </w:t>
      </w:r>
      <w:r>
        <w:rPr>
          <w:rFonts w:eastAsia="方正楷体_GBK"/>
          <w:spacing w:val="-11"/>
          <w:szCs w:val="32"/>
        </w:rPr>
        <w:t>2</w:t>
      </w:r>
      <w:r>
        <w:rPr>
          <w:rFonts w:eastAsia="方正楷体_GBK"/>
          <w:spacing w:val="-67"/>
          <w:szCs w:val="32"/>
        </w:rPr>
        <w:t xml:space="preserve"> </w:t>
      </w:r>
      <w:r>
        <w:rPr>
          <w:rFonts w:hint="eastAsia" w:eastAsia="方正楷体_GBK"/>
          <w:spacing w:val="-67"/>
          <w:szCs w:val="32"/>
        </w:rPr>
        <w:t>6</w:t>
      </w:r>
      <w:r>
        <w:rPr>
          <w:rFonts w:eastAsia="方正楷体_GBK"/>
          <w:spacing w:val="-59"/>
          <w:szCs w:val="32"/>
        </w:rPr>
        <w:t xml:space="preserve"> </w:t>
      </w:r>
      <w:r>
        <w:rPr>
          <w:rFonts w:eastAsia="方正楷体_GBK"/>
          <w:spacing w:val="-11"/>
          <w:szCs w:val="32"/>
        </w:rPr>
        <w:t>年</w:t>
      </w:r>
      <w:r>
        <w:rPr>
          <w:rFonts w:eastAsia="方正楷体_GBK"/>
          <w:spacing w:val="-67"/>
          <w:szCs w:val="32"/>
        </w:rPr>
        <w:t xml:space="preserve">       </w:t>
      </w:r>
      <w:r>
        <w:rPr>
          <w:rFonts w:eastAsia="方正楷体_GBK"/>
          <w:spacing w:val="-11"/>
          <w:szCs w:val="32"/>
        </w:rPr>
        <w:t>月</w:t>
      </w:r>
    </w:p>
    <w:p>
      <w:pPr>
        <w:widowControl w:val="0"/>
        <w:spacing w:after="0" w:line="580" w:lineRule="exact"/>
        <w:ind w:firstLine="64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根据《2026年江苏省“苏体贷”金融产品及支持政策试点方案》（以下简称《方案》），我司响应各项工作要求，积极参与“苏体贷”专项金融产品业务工作，加大金融资本对全省体育产业发展支持力度。具体承诺如下：</w:t>
      </w:r>
    </w:p>
    <w:p>
      <w:pPr>
        <w:widowControl w:val="0"/>
        <w:spacing w:after="0" w:line="580" w:lineRule="exact"/>
        <w:ind w:firstLine="640" w:firstLineChars="200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 xml:space="preserve">第一条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我司对在江苏省范围内注册且符合相应标准的体育企业，“苏体贷”风险分担（担保费补贴）模式下单户贷款金额不高于1000万元（含）的小微客户提供担保服务，在系统内将其标注“苏体贷”。</w:t>
      </w:r>
    </w:p>
    <w:p>
      <w:pPr>
        <w:spacing w:line="580" w:lineRule="exact"/>
        <w:ind w:firstLine="640" w:firstLineChars="200"/>
        <w:contextualSpacing/>
        <w:rPr>
          <w:rFonts w:ascii="方正仿宋_GBK" w:eastAsia="方正仿宋_GBK"/>
          <w:szCs w:val="32"/>
        </w:rPr>
      </w:pPr>
      <w:r>
        <w:rPr>
          <w:rFonts w:hint="eastAsia" w:ascii="方正黑体_GBK" w:hAnsi="仿宋" w:eastAsia="方正黑体_GBK"/>
          <w:bCs/>
          <w:szCs w:val="32"/>
        </w:rPr>
        <w:t xml:space="preserve">第二条 </w:t>
      </w:r>
      <w:r>
        <w:rPr>
          <w:rFonts w:hint="eastAsia" w:ascii="方正仿宋_GBK" w:eastAsia="方正仿宋_GBK"/>
          <w:szCs w:val="32"/>
        </w:rPr>
        <w:t xml:space="preserve"> 我司指定融资担保机构与合作银行另行商定签署“苏体贷”产品银担合作协议，按比例风险分担，设置代偿率上限，并按照不高于担保本金的年化0.9%向企业计算担保费。</w:t>
      </w:r>
    </w:p>
    <w:p>
      <w:pPr>
        <w:widowControl w:val="0"/>
        <w:spacing w:after="0" w:line="580" w:lineRule="exact"/>
        <w:ind w:firstLine="64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第三条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与企业签订合同时，要求企业同步签订信用承诺，避免出现信息造假、套取骗取担保费补贴等问题。</w:t>
      </w:r>
    </w:p>
    <w:p>
      <w:pPr>
        <w:widowControl w:val="0"/>
        <w:spacing w:after="0" w:line="580" w:lineRule="exact"/>
        <w:ind w:firstLine="64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第四条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我司具备系统和制度支撑，能够通过内部畅通的多级沟通渠道，确保完成“苏体贷”担保业务工作（以下称“担保工作”）各项任务，与合作银行做好沟通对接。安排一名专职人员（姓名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，部门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手机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, 邮箱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u w:val="single"/>
          <w:lang w:val="en-US" w:eastAsia="zh-CN" w:bidi="ar-SA"/>
        </w:rPr>
        <w:t xml:space="preserve">      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）负责日常工作。专职人员原则上在一个年度内保持不变。如人员岗位变动，将及时向省体育局书面说明并办理相应交接手续。</w:t>
      </w:r>
    </w:p>
    <w:p>
      <w:pPr>
        <w:widowControl w:val="0"/>
        <w:spacing w:after="0" w:line="580" w:lineRule="exact"/>
        <w:ind w:firstLine="649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第五条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坚持企业自愿，落实担保审核责任，按市场化原则对担保申请严格把关，做好担保资金核定工作，督导指定融资担保机构做好以下工作：</w:t>
      </w:r>
    </w:p>
    <w:p>
      <w:pPr>
        <w:widowControl w:val="0"/>
        <w:spacing w:after="0" w:line="580" w:lineRule="exact"/>
        <w:ind w:firstLine="664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1．结合担保政策规定，在收取企业担保费时直接扣减保费补贴。</w:t>
      </w:r>
    </w:p>
    <w:p>
      <w:pPr>
        <w:widowControl w:val="0"/>
        <w:spacing w:after="0" w:line="580" w:lineRule="exact"/>
        <w:ind w:firstLine="664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>2．按规定时限汇总测算担保费补贴金额，并加盖公章，将相关合同和证明材料及时报送省体育局。于次年3月底前，对上年度担保费补贴情况进行总结，书面报送省体育局。</w:t>
      </w:r>
    </w:p>
    <w:p>
      <w:pPr>
        <w:widowControl w:val="0"/>
        <w:spacing w:after="0" w:line="580" w:lineRule="exact"/>
        <w:ind w:firstLine="684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第六条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严格按照要求筛选把关，避免关键信息填报错误，确保材料真实、数据准确。</w:t>
      </w:r>
    </w:p>
    <w:p>
      <w:pPr>
        <w:widowControl w:val="0"/>
        <w:spacing w:after="0" w:line="580" w:lineRule="exact"/>
        <w:ind w:firstLine="674"/>
        <w:jc w:val="both"/>
        <w:rPr>
          <w:rFonts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仿宋" w:eastAsia="方正黑体_GBK" w:cs="Times New Roman"/>
          <w:bCs/>
          <w:kern w:val="2"/>
          <w:sz w:val="32"/>
          <w:szCs w:val="32"/>
          <w:lang w:val="en-US" w:eastAsia="zh-CN" w:bidi="ar-SA"/>
        </w:rPr>
        <w:t>第七条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-SA"/>
        </w:rPr>
        <w:t xml:space="preserve">  自觉接受省体育局等部门监督检查。推进“苏体贷”工作存在明显疏漏时，同意取消合作，情节严重的，依法依规接受处理。</w:t>
      </w:r>
    </w:p>
    <w:p>
      <w:pPr>
        <w:widowControl w:val="0"/>
        <w:spacing w:after="0" w:line="580" w:lineRule="exact"/>
        <w:ind w:firstLine="674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</w:p>
    <w:p>
      <w:pPr>
        <w:spacing w:line="580" w:lineRule="exact"/>
        <w:rPr>
          <w:rFonts w:eastAsia="方正仿宋_GBK"/>
          <w:szCs w:val="32"/>
        </w:rPr>
      </w:pPr>
    </w:p>
    <w:p>
      <w:pPr>
        <w:spacing w:line="580" w:lineRule="exact"/>
        <w:rPr>
          <w:rFonts w:eastAsia="方正仿宋_GBK"/>
          <w:szCs w:val="32"/>
        </w:rPr>
      </w:pPr>
    </w:p>
    <w:p>
      <w:pPr>
        <w:widowControl w:val="0"/>
        <w:spacing w:after="0" w:line="580" w:lineRule="exact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申请单位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</w:t>
      </w: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公章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）：</w:t>
      </w:r>
    </w:p>
    <w:p>
      <w:pPr>
        <w:widowControl w:val="0"/>
        <w:spacing w:after="0" w:line="580" w:lineRule="exact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法定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</w:t>
      </w: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或授权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）</w:t>
      </w: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代表人：</w:t>
      </w:r>
    </w:p>
    <w:p>
      <w:pPr>
        <w:widowControl w:val="0"/>
        <w:spacing w:after="0" w:line="580" w:lineRule="exact"/>
        <w:jc w:val="both"/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申请时间：      年       月      日</w:t>
      </w:r>
    </w:p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0D5AA0"/>
    <w:rsid w:val="0DCF2978"/>
    <w:rsid w:val="1C0D5AA0"/>
    <w:rsid w:val="2CAC5598"/>
    <w:rsid w:val="4FAA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80" w:lineRule="exact"/>
      <w:ind w:firstLine="0" w:firstLineChars="0"/>
      <w:jc w:val="center"/>
      <w:outlineLvl w:val="0"/>
    </w:pPr>
    <w:rPr>
      <w:rFonts w:eastAsia="方正小标宋_GBK"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2026-01-28T06:36:00Z</dcterms:created>
  <dc:creator>syt</dc:creator>
  <cp:lastModifiedBy>syt</cp:lastModifiedBy>
  <dcterms:modified xsi:type="dcterms:W3CDTF">2026-01-28T06:37:27Z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