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D9C825">
      <w:pPr>
        <w:widowControl w:val="0"/>
        <w:spacing w:line="380" w:lineRule="exact"/>
        <w:jc w:val="center"/>
        <w:rPr>
          <w:rFonts w:hint="eastAsia" w:ascii="Times New Roman" w:hAnsi="Times New Roman" w:cs="宋体"/>
          <w:b/>
          <w:bCs/>
          <w:kern w:val="2"/>
          <w:sz w:val="36"/>
          <w:szCs w:val="36"/>
        </w:rPr>
      </w:pPr>
      <w:r>
        <w:rPr>
          <w:rFonts w:hint="eastAsia" w:ascii="Times New Roman" w:hAnsi="Times New Roman" w:cs="宋体"/>
          <w:b/>
          <w:bCs/>
          <w:kern w:val="2"/>
          <w:sz w:val="36"/>
          <w:szCs w:val="36"/>
        </w:rPr>
        <w:tab/>
      </w:r>
      <w:r>
        <w:rPr>
          <w:rFonts w:hint="eastAsia" w:ascii="Times New Roman" w:hAnsi="Times New Roman" w:cs="宋体"/>
          <w:b/>
          <w:bCs/>
          <w:kern w:val="2"/>
          <w:sz w:val="36"/>
          <w:szCs w:val="36"/>
        </w:rPr>
        <w:t>“魅力江苏 最美体育”品牌交流展示活动</w:t>
      </w:r>
    </w:p>
    <w:p w14:paraId="4F75715F">
      <w:pPr>
        <w:widowControl w:val="0"/>
        <w:spacing w:line="380" w:lineRule="exact"/>
        <w:jc w:val="center"/>
        <w:rPr>
          <w:rFonts w:hint="eastAsia" w:ascii="Times New Roman" w:hAnsi="Times New Roman" w:cs="宋体"/>
          <w:b/>
          <w:bCs/>
          <w:kern w:val="2"/>
          <w:sz w:val="36"/>
          <w:szCs w:val="36"/>
        </w:rPr>
      </w:pPr>
      <w:r>
        <w:rPr>
          <w:rFonts w:hint="eastAsia" w:ascii="Times New Roman" w:hAnsi="Times New Roman" w:cs="宋体"/>
          <w:b/>
          <w:bCs/>
          <w:kern w:val="2"/>
          <w:sz w:val="36"/>
          <w:szCs w:val="36"/>
        </w:rPr>
        <w:t>合同</w:t>
      </w:r>
      <w:r>
        <w:rPr>
          <w:rFonts w:hint="eastAsia" w:ascii="Times New Roman" w:hAnsi="Times New Roman" w:cs="宋体"/>
          <w:b/>
          <w:bCs/>
          <w:kern w:val="2"/>
          <w:sz w:val="36"/>
          <w:szCs w:val="36"/>
        </w:rPr>
        <w:tab/>
      </w:r>
    </w:p>
    <w:p w14:paraId="47A14955">
      <w:pPr>
        <w:shd w:val="clear" w:color="auto" w:fill="FFFFFF"/>
        <w:spacing w:line="360" w:lineRule="auto"/>
        <w:ind w:firstLine="420" w:firstLineChars="175"/>
        <w:jc w:val="both"/>
        <w:rPr>
          <w:rFonts w:hint="eastAsia" w:ascii="宋体" w:hAnsi="宋体" w:cs="宋体"/>
          <w:color w:val="auto"/>
          <w:szCs w:val="24"/>
        </w:rPr>
      </w:pPr>
    </w:p>
    <w:p w14:paraId="566283E8">
      <w:pPr>
        <w:keepNext w:val="0"/>
        <w:keepLines w:val="0"/>
        <w:pageBreakBefore w:val="0"/>
        <w:widowControl/>
        <w:kinsoku/>
        <w:overflowPunct/>
        <w:topLinePunct w:val="0"/>
        <w:autoSpaceDE/>
        <w:autoSpaceDN/>
        <w:bidi w:val="0"/>
        <w:adjustRightInd/>
        <w:snapToGrid/>
        <w:spacing w:line="440" w:lineRule="exact"/>
        <w:ind w:firstLine="480" w:firstLineChars="200"/>
        <w:textAlignment w:val="auto"/>
        <w:rPr>
          <w:rFonts w:hint="default" w:ascii="宋体" w:hAnsi="宋体" w:eastAsia="宋体" w:cs="宋体"/>
          <w:sz w:val="24"/>
          <w:lang w:val="en-US" w:eastAsia="zh-CN"/>
        </w:rPr>
      </w:pPr>
      <w:r>
        <w:rPr>
          <w:rFonts w:hint="eastAsia" w:ascii="宋体" w:hAnsi="宋体" w:eastAsia="宋体" w:cs="宋体"/>
          <w:sz w:val="24"/>
        </w:rPr>
        <w:t>合同编号：</w:t>
      </w:r>
      <w:r>
        <w:rPr>
          <w:rFonts w:hint="eastAsia" w:ascii="宋体" w:hAnsi="宋体" w:cs="宋体"/>
          <w:sz w:val="24"/>
          <w:lang w:val="en-US" w:eastAsia="zh-CN"/>
        </w:rPr>
        <w:t>苏体总采购-8</w:t>
      </w:r>
    </w:p>
    <w:p w14:paraId="6C6DF350">
      <w:pPr>
        <w:keepNext w:val="0"/>
        <w:keepLines w:val="0"/>
        <w:pageBreakBefore w:val="0"/>
        <w:widowControl/>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lang w:eastAsia="zh-CN"/>
        </w:rPr>
      </w:pPr>
      <w:r>
        <w:rPr>
          <w:rFonts w:hint="eastAsia" w:ascii="宋体" w:hAnsi="宋体" w:eastAsia="宋体" w:cs="宋体"/>
          <w:sz w:val="24"/>
        </w:rPr>
        <w:t>采购人（以下称甲方）：江苏省体育</w:t>
      </w:r>
      <w:r>
        <w:rPr>
          <w:rFonts w:hint="eastAsia" w:ascii="宋体" w:hAnsi="宋体" w:eastAsia="宋体" w:cs="宋体"/>
          <w:sz w:val="24"/>
          <w:lang w:val="en-US" w:eastAsia="zh-CN"/>
        </w:rPr>
        <w:t>总会</w:t>
      </w:r>
    </w:p>
    <w:p w14:paraId="6BA13764">
      <w:pPr>
        <w:keepNext w:val="0"/>
        <w:keepLines w:val="0"/>
        <w:pageBreakBefore w:val="0"/>
        <w:widowControl/>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rPr>
      </w:pPr>
      <w:r>
        <w:rPr>
          <w:rFonts w:hint="eastAsia" w:ascii="宋体" w:hAnsi="宋体" w:eastAsia="宋体" w:cs="宋体"/>
          <w:sz w:val="24"/>
        </w:rPr>
        <w:t>住所地：南京市广州路191号五环大厦</w:t>
      </w:r>
    </w:p>
    <w:p w14:paraId="560B3D5F">
      <w:pPr>
        <w:keepNext w:val="0"/>
        <w:keepLines w:val="0"/>
        <w:pageBreakBefore w:val="0"/>
        <w:widowControl/>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rPr>
      </w:pPr>
      <w:r>
        <w:rPr>
          <w:rFonts w:hint="eastAsia" w:ascii="宋体" w:hAnsi="宋体" w:eastAsia="宋体" w:cs="宋体"/>
          <w:sz w:val="24"/>
          <w:highlight w:val="none"/>
        </w:rPr>
        <w:t>供应商（以下</w:t>
      </w:r>
      <w:r>
        <w:rPr>
          <w:rFonts w:hint="eastAsia" w:ascii="宋体" w:hAnsi="宋体" w:cs="宋体"/>
          <w:sz w:val="24"/>
          <w:highlight w:val="none"/>
          <w:lang w:val="en-US" w:eastAsia="zh-CN"/>
        </w:rPr>
        <w:t>或</w:t>
      </w:r>
      <w:r>
        <w:rPr>
          <w:rFonts w:hint="eastAsia" w:ascii="宋体" w:hAnsi="宋体" w:eastAsia="宋体" w:cs="宋体"/>
          <w:sz w:val="24"/>
          <w:highlight w:val="none"/>
        </w:rPr>
        <w:t>称乙方）</w:t>
      </w:r>
      <w:r>
        <w:rPr>
          <w:rFonts w:hint="eastAsia" w:ascii="宋体" w:hAnsi="宋体" w:eastAsia="宋体" w:cs="宋体"/>
          <w:sz w:val="24"/>
        </w:rPr>
        <w:t xml:space="preserve">：江苏省广播电视集团有限公司                      </w:t>
      </w:r>
    </w:p>
    <w:p w14:paraId="1EA0E9FE">
      <w:pPr>
        <w:keepNext w:val="0"/>
        <w:keepLines w:val="0"/>
        <w:pageBreakBefore w:val="0"/>
        <w:widowControl/>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rPr>
      </w:pPr>
      <w:r>
        <w:rPr>
          <w:rFonts w:hint="eastAsia" w:ascii="宋体" w:hAnsi="宋体" w:eastAsia="宋体" w:cs="宋体"/>
          <w:sz w:val="24"/>
        </w:rPr>
        <w:t>住所地： 南京市北京东路4号</w:t>
      </w:r>
    </w:p>
    <w:p w14:paraId="50D0DB9B">
      <w:pPr>
        <w:pStyle w:val="2"/>
        <w:keepNext w:val="0"/>
        <w:keepLines w:val="0"/>
        <w:pageBreakBefore w:val="0"/>
        <w:widowControl/>
        <w:kinsoku/>
        <w:overflowPunct/>
        <w:topLinePunct w:val="0"/>
        <w:autoSpaceDE/>
        <w:autoSpaceDN/>
        <w:bidi w:val="0"/>
        <w:adjustRightInd/>
        <w:snapToGrid/>
        <w:spacing w:line="440" w:lineRule="exact"/>
        <w:textAlignment w:val="auto"/>
        <w:rPr>
          <w:rFonts w:hint="eastAsia"/>
        </w:rPr>
      </w:pPr>
    </w:p>
    <w:p w14:paraId="47E18D6A">
      <w:pPr>
        <w:keepNext w:val="0"/>
        <w:keepLines w:val="0"/>
        <w:pageBreakBefore w:val="0"/>
        <w:widowControl/>
        <w:shd w:val="clear" w:color="auto" w:fill="FFFFFF"/>
        <w:kinsoku/>
        <w:wordWrap w:val="0"/>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根据《中华人民共和国民法典》等法律法规的规定，遵循平等自愿、公正和诚实信用的原则，甲乙双方就</w:t>
      </w:r>
      <w:r>
        <w:rPr>
          <w:rFonts w:hint="eastAsia" w:ascii="宋体" w:hAnsi="宋体" w:cs="宋体"/>
          <w:color w:val="auto"/>
          <w:szCs w:val="24"/>
          <w:u w:val="single"/>
        </w:rPr>
        <w:t xml:space="preserve"> “魅力江苏 最美体育”品牌交流展示活动 </w:t>
      </w:r>
      <w:r>
        <w:rPr>
          <w:rFonts w:hint="eastAsia" w:ascii="宋体" w:hAnsi="宋体" w:cs="宋体"/>
          <w:color w:val="auto"/>
          <w:szCs w:val="24"/>
        </w:rPr>
        <w:t>项目订立本合同。</w:t>
      </w:r>
    </w:p>
    <w:p w14:paraId="258D5C2F">
      <w:pPr>
        <w:keepNext w:val="0"/>
        <w:keepLines w:val="0"/>
        <w:pageBreakBefore w:val="0"/>
        <w:widowControl/>
        <w:numPr>
          <w:ilvl w:val="0"/>
          <w:numId w:val="1"/>
        </w:numPr>
        <w:shd w:val="clear" w:color="auto" w:fill="FFFFFF"/>
        <w:kinsoku/>
        <w:overflowPunct/>
        <w:topLinePunct w:val="0"/>
        <w:autoSpaceDE/>
        <w:autoSpaceDN/>
        <w:bidi w:val="0"/>
        <w:adjustRightInd/>
        <w:snapToGrid/>
        <w:spacing w:line="440" w:lineRule="exact"/>
        <w:ind w:firstLine="422"/>
        <w:textAlignment w:val="auto"/>
        <w:rPr>
          <w:rFonts w:hint="eastAsia" w:ascii="宋体" w:hAnsi="宋体" w:cs="宋体"/>
          <w:b/>
          <w:bCs/>
          <w:color w:val="auto"/>
          <w:szCs w:val="24"/>
        </w:rPr>
      </w:pPr>
      <w:r>
        <w:rPr>
          <w:rFonts w:hint="eastAsia" w:ascii="宋体" w:hAnsi="宋体" w:cs="宋体"/>
          <w:b/>
          <w:bCs/>
          <w:color w:val="auto"/>
          <w:szCs w:val="24"/>
        </w:rPr>
        <w:t>合同标的</w:t>
      </w:r>
      <w:bookmarkStart w:id="0" w:name="_GoBack"/>
      <w:bookmarkEnd w:id="0"/>
    </w:p>
    <w:p w14:paraId="3EF03E04">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乙方根据甲方要求提供下列服务：</w:t>
      </w:r>
    </w:p>
    <w:p w14:paraId="63048C76">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供应商应提供活动整体方案，包括活动策划方案、执行方案、宣传方案、安保方案、应急预案等。</w:t>
      </w:r>
    </w:p>
    <w:p w14:paraId="540D9E94">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1、时间：2025年11月-12月（暂定）</w:t>
      </w:r>
    </w:p>
    <w:p w14:paraId="18F410D0">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2、地点：南京</w:t>
      </w:r>
    </w:p>
    <w:p w14:paraId="1906CBA3">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3、活动规模：参与人数不少于300人，时长不少于70分钟</w:t>
      </w:r>
    </w:p>
    <w:p w14:paraId="04A19026">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4、活动形式：文体展演</w:t>
      </w:r>
    </w:p>
    <w:p w14:paraId="51F1166E">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ascii="宋体" w:hAnsi="宋体" w:cs="宋体"/>
          <w:color w:val="auto"/>
          <w:szCs w:val="24"/>
        </w:rPr>
      </w:pPr>
      <w:r>
        <w:rPr>
          <w:rFonts w:hint="eastAsia" w:ascii="宋体" w:hAnsi="宋体" w:cs="宋体"/>
          <w:color w:val="auto"/>
          <w:szCs w:val="24"/>
        </w:rPr>
        <w:t>5、活动效果：活动需呈现体育组织良好形象，展示多元体育项目，活动现场展演及互动体验的体育项目不少于15项。</w:t>
      </w:r>
    </w:p>
    <w:p w14:paraId="1E851029">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6、活动组织</w:t>
      </w:r>
    </w:p>
    <w:p w14:paraId="7F43C98A">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6.1乙方需负责准备和提供活动所需场地，并为活动的成功举办提供必要的设施、服务、条件。</w:t>
      </w:r>
    </w:p>
    <w:p w14:paraId="07CE8E78">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6.2按照要求积极配合协调召开活动策划会、协调会等。</w:t>
      </w:r>
    </w:p>
    <w:p w14:paraId="5BC9D66A">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6.3按照相关要求，承担包括前期策划、台本撰写、团队招募、节目编排、现场排练、物料制作、场地搭建、氛围布设、现场录制、后期剪辑制作等全流程执行工作，确保活动的顺利举办。</w:t>
      </w:r>
    </w:p>
    <w:p w14:paraId="525D9391">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6.4按照采购方要求招募组织演出团队，并承担所有演出人员的交通、食宿及工作酬金。</w:t>
      </w:r>
    </w:p>
    <w:p w14:paraId="2511AF0F">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 xml:space="preserve">6.5针对本项目，承办方需组织专门团队服务，配备合理、专业性强，包含策划、执行、导演、文案、摄像、后期剪辑、后勤保障等各工种专业人员，对全民健身工作熟悉了解，提供从业经验或取得成绩等相关证明。 </w:t>
      </w:r>
    </w:p>
    <w:p w14:paraId="26FDE969">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6.6提供活动相关工作人员所需的饮用水、工作餐等物资。</w:t>
      </w:r>
    </w:p>
    <w:p w14:paraId="2CF1C0BD">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6.7活动结束后15天内，承办方需将活动材料、宣传报道等送交采购人备案，并将活动全程进行剪辑制作，在省级以上媒体平台播出。</w:t>
      </w:r>
    </w:p>
    <w:p w14:paraId="0175CFD3">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7、活动宣传</w:t>
      </w:r>
    </w:p>
    <w:p w14:paraId="737AB23F">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7.1活动前、中、后制定宣传方案，邀请各级各类媒体进行活动相关宣传与互动，其中省级以上主流媒体不少于15家，新媒体平台不少于5个。</w:t>
      </w:r>
    </w:p>
    <w:p w14:paraId="2763FC8E">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ascii="宋体" w:hAnsi="宋体" w:cs="宋体"/>
          <w:color w:val="auto"/>
          <w:szCs w:val="24"/>
        </w:rPr>
      </w:pPr>
      <w:r>
        <w:rPr>
          <w:rFonts w:hint="eastAsia" w:ascii="宋体" w:hAnsi="宋体" w:cs="宋体"/>
          <w:color w:val="auto"/>
          <w:szCs w:val="24"/>
        </w:rPr>
        <w:t>7.2活动结束后须在国家级行业媒体上进行专版宣传（整版）。</w:t>
      </w:r>
    </w:p>
    <w:p w14:paraId="3620F9FA">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7.3活动现场按要求设置活动背景板、指示引导牌、座椅背贴、氛围布置等相关物料。</w:t>
      </w:r>
    </w:p>
    <w:p w14:paraId="752986DD">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8、安全保障</w:t>
      </w:r>
    </w:p>
    <w:p w14:paraId="3484487C">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8.1负责配合办理活动所需的审批手续，包括公安、交通、卫生等各类活动许可。</w:t>
      </w:r>
    </w:p>
    <w:p w14:paraId="48999BB2">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8.2制定风险防范预案，落实专人负责现场秩序维护及人员疏导。</w:t>
      </w:r>
    </w:p>
    <w:p w14:paraId="6F27850B">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9、其他服务内容详见招标文件及乙方投标文件等。</w:t>
      </w:r>
    </w:p>
    <w:p w14:paraId="4CFFBD18">
      <w:pPr>
        <w:keepNext w:val="0"/>
        <w:keepLines w:val="0"/>
        <w:pageBreakBefore w:val="0"/>
        <w:widowControl/>
        <w:numPr>
          <w:ilvl w:val="0"/>
          <w:numId w:val="1"/>
        </w:numPr>
        <w:shd w:val="clear" w:color="auto" w:fill="FFFFFF"/>
        <w:kinsoku/>
        <w:overflowPunct/>
        <w:topLinePunct w:val="0"/>
        <w:autoSpaceDE/>
        <w:autoSpaceDN/>
        <w:bidi w:val="0"/>
        <w:adjustRightInd/>
        <w:snapToGrid/>
        <w:spacing w:line="440" w:lineRule="exact"/>
        <w:ind w:firstLine="422"/>
        <w:textAlignment w:val="auto"/>
        <w:rPr>
          <w:rFonts w:ascii="宋体" w:hAnsi="宋体" w:cs="宋体"/>
          <w:b/>
          <w:bCs/>
          <w:color w:val="auto"/>
          <w:szCs w:val="24"/>
        </w:rPr>
      </w:pPr>
      <w:r>
        <w:rPr>
          <w:rFonts w:hint="eastAsia" w:ascii="宋体" w:hAnsi="宋体" w:cs="宋体"/>
          <w:b/>
          <w:bCs/>
          <w:color w:val="auto"/>
          <w:szCs w:val="24"/>
        </w:rPr>
        <w:t>服务期限</w:t>
      </w:r>
    </w:p>
    <w:p w14:paraId="13137781">
      <w:pPr>
        <w:keepNext w:val="0"/>
        <w:keepLines w:val="0"/>
        <w:pageBreakBefore w:val="0"/>
        <w:widowControl/>
        <w:shd w:val="clear" w:color="auto" w:fill="FFFFFF"/>
        <w:kinsoku/>
        <w:overflowPunct/>
        <w:topLinePunct w:val="0"/>
        <w:autoSpaceDE/>
        <w:autoSpaceDN/>
        <w:bidi w:val="0"/>
        <w:adjustRightInd/>
        <w:snapToGrid/>
        <w:spacing w:line="440" w:lineRule="exact"/>
        <w:ind w:left="422"/>
        <w:textAlignment w:val="auto"/>
        <w:rPr>
          <w:rFonts w:ascii="宋体" w:hAnsi="宋体" w:cs="宋体"/>
          <w:b/>
          <w:bCs/>
          <w:color w:val="auto"/>
          <w:szCs w:val="24"/>
        </w:rPr>
      </w:pPr>
      <w:r>
        <w:rPr>
          <w:rFonts w:hint="eastAsia" w:ascii="宋体" w:hAnsi="宋体" w:cs="宋体"/>
          <w:color w:val="auto"/>
          <w:szCs w:val="24"/>
        </w:rPr>
        <w:t>服务期限：2025年11月-12月（暂定，甲乙双方可另行商定）</w:t>
      </w:r>
    </w:p>
    <w:p w14:paraId="7B021DE7">
      <w:pPr>
        <w:keepNext w:val="0"/>
        <w:keepLines w:val="0"/>
        <w:pageBreakBefore w:val="0"/>
        <w:widowControl/>
        <w:shd w:val="clear" w:color="auto" w:fill="FFFFFF"/>
        <w:kinsoku/>
        <w:overflowPunct/>
        <w:topLinePunct w:val="0"/>
        <w:autoSpaceDE/>
        <w:autoSpaceDN/>
        <w:bidi w:val="0"/>
        <w:adjustRightInd/>
        <w:snapToGrid/>
        <w:spacing w:line="440" w:lineRule="exact"/>
        <w:ind w:firstLine="422"/>
        <w:textAlignment w:val="auto"/>
        <w:rPr>
          <w:rFonts w:hint="eastAsia" w:ascii="宋体" w:hAnsi="宋体" w:cs="宋体"/>
          <w:color w:val="auto"/>
          <w:szCs w:val="24"/>
        </w:rPr>
      </w:pPr>
      <w:r>
        <w:rPr>
          <w:rFonts w:hint="eastAsia" w:ascii="宋体" w:hAnsi="宋体" w:cs="宋体"/>
          <w:b/>
          <w:bCs/>
          <w:color w:val="auto"/>
          <w:szCs w:val="24"/>
        </w:rPr>
        <w:t>第三条 合同总价款</w:t>
      </w:r>
    </w:p>
    <w:p w14:paraId="10C7EAC2">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本合同项下服务总价款为</w:t>
      </w:r>
      <w:r>
        <w:rPr>
          <w:rFonts w:hint="eastAsia" w:ascii="宋体" w:hAnsi="宋体" w:cs="宋体"/>
          <w:color w:val="auto"/>
          <w:szCs w:val="24"/>
          <w:u w:val="single"/>
          <w:lang w:val="en-US" w:eastAsia="zh-CN"/>
        </w:rPr>
        <w:t>陆拾玖万玖千陆佰元整</w:t>
      </w:r>
      <w:r>
        <w:rPr>
          <w:rFonts w:hint="eastAsia" w:ascii="宋体" w:hAnsi="宋体" w:cs="宋体"/>
          <w:color w:val="auto"/>
          <w:szCs w:val="24"/>
        </w:rPr>
        <w:t>（大写）人民币</w:t>
      </w:r>
      <w:r>
        <w:rPr>
          <w:rFonts w:hint="eastAsia" w:ascii="宋体" w:hAnsi="宋体" w:cs="宋体"/>
          <w:color w:val="auto"/>
          <w:szCs w:val="24"/>
          <w:u w:val="single"/>
          <w:lang w:val="en-US" w:eastAsia="zh-CN"/>
        </w:rPr>
        <w:t>699600元</w:t>
      </w:r>
      <w:r>
        <w:rPr>
          <w:rFonts w:hint="eastAsia" w:ascii="宋体" w:hAnsi="宋体" w:cs="宋体"/>
          <w:color w:val="auto"/>
          <w:szCs w:val="24"/>
        </w:rPr>
        <w:t>，分项价款在“投标报价分析表”中有明确规定。甲方不再向乙方支付任何其他款项。</w:t>
      </w:r>
    </w:p>
    <w:p w14:paraId="5717EFA4">
      <w:pPr>
        <w:keepNext w:val="0"/>
        <w:keepLines w:val="0"/>
        <w:pageBreakBefore w:val="0"/>
        <w:widowControl/>
        <w:shd w:val="clear" w:color="auto" w:fill="FFFFFF"/>
        <w:kinsoku/>
        <w:overflowPunct/>
        <w:topLinePunct w:val="0"/>
        <w:autoSpaceDE/>
        <w:autoSpaceDN/>
        <w:bidi w:val="0"/>
        <w:adjustRightInd/>
        <w:snapToGrid/>
        <w:spacing w:line="440" w:lineRule="exact"/>
        <w:ind w:firstLine="422"/>
        <w:textAlignment w:val="auto"/>
        <w:rPr>
          <w:rFonts w:hint="eastAsia" w:ascii="宋体" w:hAnsi="宋体" w:cs="宋体"/>
          <w:color w:val="auto"/>
          <w:szCs w:val="24"/>
        </w:rPr>
      </w:pPr>
      <w:r>
        <w:rPr>
          <w:rFonts w:hint="eastAsia" w:ascii="宋体" w:hAnsi="宋体" w:cs="宋体"/>
          <w:b/>
          <w:bCs/>
          <w:color w:val="auto"/>
          <w:szCs w:val="24"/>
        </w:rPr>
        <w:t>第四条 组成本合同的有关文件</w:t>
      </w:r>
    </w:p>
    <w:p w14:paraId="4390F4DC">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招标文件和有关附件是本合同不可分割的组成部分，与本合同具有同等法律效力。</w:t>
      </w:r>
    </w:p>
    <w:p w14:paraId="57DA88D5">
      <w:pPr>
        <w:keepNext w:val="0"/>
        <w:keepLines w:val="0"/>
        <w:pageBreakBefore w:val="0"/>
        <w:widowControl/>
        <w:shd w:val="clear" w:color="auto" w:fill="FFFFFF"/>
        <w:kinsoku/>
        <w:overflowPunct/>
        <w:topLinePunct w:val="0"/>
        <w:autoSpaceDE/>
        <w:autoSpaceDN/>
        <w:bidi w:val="0"/>
        <w:adjustRightInd/>
        <w:snapToGrid/>
        <w:spacing w:line="440" w:lineRule="exact"/>
        <w:ind w:firstLine="422"/>
        <w:textAlignment w:val="auto"/>
        <w:rPr>
          <w:rFonts w:hint="eastAsia" w:ascii="宋体" w:hAnsi="宋体" w:cs="宋体"/>
          <w:color w:val="auto"/>
          <w:szCs w:val="24"/>
        </w:rPr>
      </w:pPr>
      <w:r>
        <w:rPr>
          <w:rFonts w:hint="eastAsia" w:ascii="宋体" w:hAnsi="宋体" w:cs="宋体"/>
          <w:b/>
          <w:bCs/>
          <w:color w:val="auto"/>
          <w:szCs w:val="24"/>
        </w:rPr>
        <w:t>第五条 权利保证</w:t>
      </w:r>
    </w:p>
    <w:p w14:paraId="758FD742">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乙方应保证为甲方提供服务任何一部分时不受第三方提出侵犯其专利权、版权、商标权或其他权利的起诉。一旦出现侵权，乙方应承担全部责任。</w:t>
      </w:r>
    </w:p>
    <w:p w14:paraId="7EF9345E">
      <w:pPr>
        <w:keepNext w:val="0"/>
        <w:keepLines w:val="0"/>
        <w:pageBreakBefore w:val="0"/>
        <w:widowControl/>
        <w:shd w:val="clear" w:color="auto" w:fill="FFFFFF"/>
        <w:kinsoku/>
        <w:overflowPunct/>
        <w:topLinePunct w:val="0"/>
        <w:autoSpaceDE/>
        <w:autoSpaceDN/>
        <w:bidi w:val="0"/>
        <w:adjustRightInd/>
        <w:snapToGrid/>
        <w:spacing w:line="440" w:lineRule="exact"/>
        <w:ind w:firstLine="422"/>
        <w:textAlignment w:val="auto"/>
        <w:rPr>
          <w:rFonts w:hint="eastAsia" w:ascii="宋体" w:hAnsi="宋体" w:cs="宋体"/>
          <w:color w:val="auto"/>
          <w:szCs w:val="24"/>
        </w:rPr>
      </w:pPr>
      <w:r>
        <w:rPr>
          <w:rFonts w:hint="eastAsia" w:ascii="宋体" w:hAnsi="宋体" w:cs="宋体"/>
          <w:b/>
          <w:bCs/>
          <w:color w:val="auto"/>
          <w:szCs w:val="24"/>
        </w:rPr>
        <w:t>第六条 质量保证</w:t>
      </w:r>
    </w:p>
    <w:p w14:paraId="098A3E3C">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乙方提供的服务必须全部达到招标文件各项要求，国家或行业有规定的，还要符合相应规定。</w:t>
      </w:r>
    </w:p>
    <w:p w14:paraId="71FE0881">
      <w:pPr>
        <w:keepNext w:val="0"/>
        <w:keepLines w:val="0"/>
        <w:pageBreakBefore w:val="0"/>
        <w:widowControl/>
        <w:shd w:val="clear" w:color="auto" w:fill="FFFFFF"/>
        <w:kinsoku/>
        <w:overflowPunct/>
        <w:topLinePunct w:val="0"/>
        <w:autoSpaceDE/>
        <w:autoSpaceDN/>
        <w:bidi w:val="0"/>
        <w:adjustRightInd/>
        <w:snapToGrid/>
        <w:spacing w:line="440" w:lineRule="exact"/>
        <w:ind w:firstLine="422"/>
        <w:textAlignment w:val="auto"/>
        <w:rPr>
          <w:rFonts w:hint="eastAsia" w:ascii="宋体" w:hAnsi="宋体" w:cs="宋体"/>
          <w:color w:val="auto"/>
          <w:szCs w:val="24"/>
        </w:rPr>
      </w:pPr>
      <w:r>
        <w:rPr>
          <w:rFonts w:hint="eastAsia" w:ascii="宋体" w:hAnsi="宋体" w:cs="宋体"/>
          <w:b/>
          <w:bCs/>
          <w:color w:val="auto"/>
          <w:szCs w:val="24"/>
        </w:rPr>
        <w:t>第七条 交付和验收</w:t>
      </w:r>
    </w:p>
    <w:p w14:paraId="521D5869">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合同履行完毕后，按照合同约定，供应商提供约定事项完成的证明材料，采购单位验收工作小组逐项进行验收确认。</w:t>
      </w:r>
    </w:p>
    <w:p w14:paraId="16BBC58D">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验收时间：2025年12月</w:t>
      </w:r>
    </w:p>
    <w:p w14:paraId="5D687B51">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验收地点：南京</w:t>
      </w:r>
    </w:p>
    <w:p w14:paraId="35F5A83C">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验收人：验收工作小组由3人组成，分别为省体育总会秘书处分管秘书长1人、办公室负责人1人、竞赛部负责人1人组成。</w:t>
      </w:r>
    </w:p>
    <w:p w14:paraId="5E080037">
      <w:pPr>
        <w:keepNext w:val="0"/>
        <w:keepLines w:val="0"/>
        <w:pageBreakBefore w:val="0"/>
        <w:widowControl/>
        <w:shd w:val="clear" w:color="auto" w:fill="FFFFFF"/>
        <w:kinsoku/>
        <w:overflowPunct/>
        <w:topLinePunct w:val="0"/>
        <w:autoSpaceDE/>
        <w:autoSpaceDN/>
        <w:bidi w:val="0"/>
        <w:adjustRightInd/>
        <w:snapToGrid/>
        <w:spacing w:line="440" w:lineRule="exact"/>
        <w:ind w:firstLine="422"/>
        <w:textAlignment w:val="auto"/>
        <w:rPr>
          <w:rFonts w:hint="eastAsia" w:ascii="宋体" w:hAnsi="宋体" w:cs="宋体"/>
          <w:color w:val="auto"/>
          <w:szCs w:val="24"/>
        </w:rPr>
      </w:pPr>
      <w:r>
        <w:rPr>
          <w:rFonts w:hint="eastAsia" w:ascii="宋体" w:hAnsi="宋体" w:cs="宋体"/>
          <w:b/>
          <w:bCs/>
          <w:color w:val="auto"/>
          <w:szCs w:val="24"/>
        </w:rPr>
        <w:t>第八条 合同款支付</w:t>
      </w:r>
    </w:p>
    <w:p w14:paraId="4A22A880">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合同生效、确定活动时间后，采购人支付合同全款的50%；合同履约完成且经采购人确认后20个工作日内，采购人支付合同总价款的50%。</w:t>
      </w:r>
    </w:p>
    <w:p w14:paraId="189B5964">
      <w:pPr>
        <w:keepNext w:val="0"/>
        <w:keepLines w:val="0"/>
        <w:pageBreakBefore w:val="0"/>
        <w:widowControl/>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highlight w:val="none"/>
        </w:rPr>
      </w:pPr>
      <w:r>
        <w:rPr>
          <w:rFonts w:hint="eastAsia" w:ascii="宋体" w:hAnsi="宋体" w:eastAsia="宋体" w:cs="宋体"/>
          <w:sz w:val="24"/>
          <w:highlight w:val="none"/>
        </w:rPr>
        <w:t>款项支付的账号：</w:t>
      </w:r>
      <w:r>
        <w:rPr>
          <w:rFonts w:hint="eastAsia" w:ascii="宋体" w:hAnsi="宋体" w:eastAsia="宋体" w:cs="宋体"/>
          <w:sz w:val="24"/>
          <w:highlight w:val="none"/>
          <w:lang w:val="zh-CN"/>
        </w:rPr>
        <w:t>125902038310101</w:t>
      </w:r>
    </w:p>
    <w:p w14:paraId="3244797D">
      <w:pPr>
        <w:keepNext w:val="0"/>
        <w:keepLines w:val="0"/>
        <w:pageBreakBefore w:val="0"/>
        <w:widowControl/>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highlight w:val="none"/>
          <w:lang w:val="en-US" w:eastAsia="zh-CN"/>
        </w:rPr>
      </w:pPr>
      <w:r>
        <w:rPr>
          <w:rFonts w:hint="eastAsia" w:ascii="宋体" w:hAnsi="宋体" w:eastAsia="宋体" w:cs="宋体"/>
          <w:sz w:val="24"/>
          <w:highlight w:val="none"/>
        </w:rPr>
        <w:t>开户行：</w:t>
      </w:r>
      <w:r>
        <w:rPr>
          <w:rFonts w:hint="eastAsia" w:ascii="宋体" w:hAnsi="宋体" w:eastAsia="宋体" w:cs="宋体"/>
          <w:sz w:val="24"/>
          <w:highlight w:val="none"/>
          <w:lang w:val="zh-CN"/>
        </w:rPr>
        <w:t>招商银行南京分行鼓楼支行</w:t>
      </w:r>
      <w:r>
        <w:rPr>
          <w:rFonts w:hint="eastAsia" w:ascii="宋体" w:hAnsi="宋体" w:eastAsia="宋体" w:cs="宋体"/>
          <w:sz w:val="24"/>
          <w:highlight w:val="none"/>
          <w:lang w:val="en-US" w:eastAsia="zh-CN"/>
        </w:rPr>
        <w:t xml:space="preserve"> </w:t>
      </w:r>
    </w:p>
    <w:p w14:paraId="43F1B88D">
      <w:pPr>
        <w:keepNext w:val="0"/>
        <w:keepLines w:val="0"/>
        <w:pageBreakBefore w:val="0"/>
        <w:widowControl/>
        <w:kinsoku/>
        <w:overflowPunct/>
        <w:topLinePunct w:val="0"/>
        <w:autoSpaceDE/>
        <w:autoSpaceDN/>
        <w:bidi w:val="0"/>
        <w:adjustRightInd/>
        <w:snapToGrid/>
        <w:spacing w:line="440" w:lineRule="exact"/>
        <w:ind w:firstLine="480" w:firstLineChars="200"/>
        <w:textAlignment w:val="auto"/>
        <w:rPr>
          <w:rFonts w:hint="eastAsia"/>
        </w:rPr>
      </w:pPr>
      <w:r>
        <w:rPr>
          <w:rFonts w:hint="eastAsia" w:ascii="宋体" w:hAnsi="宋体" w:eastAsia="宋体" w:cs="宋体"/>
          <w:sz w:val="24"/>
          <w:highlight w:val="none"/>
        </w:rPr>
        <w:t>户名：江苏省广播电视集团有限公司</w:t>
      </w:r>
    </w:p>
    <w:p w14:paraId="528B03DA">
      <w:pPr>
        <w:keepNext w:val="0"/>
        <w:keepLines w:val="0"/>
        <w:pageBreakBefore w:val="0"/>
        <w:widowControl/>
        <w:shd w:val="clear" w:color="auto" w:fill="FFFFFF"/>
        <w:kinsoku/>
        <w:overflowPunct/>
        <w:topLinePunct w:val="0"/>
        <w:autoSpaceDE/>
        <w:autoSpaceDN/>
        <w:bidi w:val="0"/>
        <w:adjustRightInd/>
        <w:snapToGrid/>
        <w:spacing w:line="440" w:lineRule="exact"/>
        <w:ind w:firstLine="422"/>
        <w:textAlignment w:val="auto"/>
        <w:rPr>
          <w:rFonts w:hint="eastAsia" w:ascii="宋体" w:hAnsi="宋体" w:cs="宋体"/>
          <w:color w:val="auto"/>
          <w:szCs w:val="24"/>
        </w:rPr>
      </w:pPr>
      <w:r>
        <w:rPr>
          <w:rFonts w:hint="eastAsia" w:ascii="宋体" w:hAnsi="宋体" w:cs="宋体"/>
          <w:b/>
          <w:bCs/>
          <w:color w:val="auto"/>
          <w:szCs w:val="24"/>
        </w:rPr>
        <w:t>第九条 违约责任</w:t>
      </w:r>
    </w:p>
    <w:p w14:paraId="69ADF1F8">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1、甲方无正当理由拒绝验收或拒付款的，甲方向乙方偿付合同总价的5%违约金。</w:t>
      </w:r>
    </w:p>
    <w:p w14:paraId="640761B1">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2、甲方未按合同规定的期限向乙方支付合同款的，每逾期1天甲方向乙方偿付欠款总额的5‰滞纳金，但累计滞纳金总额不超过欠款总额的5%。</w:t>
      </w:r>
    </w:p>
    <w:p w14:paraId="70D34A5F">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3、如乙方不能按期交付服务的，甲方有权扣留全部履约保证金（如有）；同时乙方应向甲方支付合同总价5%的违约金。</w:t>
      </w:r>
    </w:p>
    <w:p w14:paraId="555BEFE9">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4、乙方逾期交付的，每逾期1天，乙方向甲方偿付合同总额的5‰的滞纳金。如乙方逾期交付达10天，甲方有权解除合同，解除合同的通知自到达乙方时生效。乙方逾期交付的，今后参加政府类采购信誉将受到影响。</w:t>
      </w:r>
    </w:p>
    <w:p w14:paraId="58CD0C63">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5、乙方在承担违约责任后，仍应继续履行合同规定的义务（甲方解除合同的除外）。甲方未能及时追究乙方的任何一项违约责任并不表明甲方放弃追究乙方该项或其他违约责任。</w:t>
      </w:r>
    </w:p>
    <w:p w14:paraId="1E9E6BE7">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6、乙方虚假承诺，或经权威部门检测提供的服务不能满足招标文件要求，或是由于乙方的过错造成合同无法继续履行的，乙方履约保证金（如有）不予退还外，还应向甲方支付不少于合同总价30%赔偿金。</w:t>
      </w:r>
    </w:p>
    <w:p w14:paraId="563716D3">
      <w:pPr>
        <w:keepNext w:val="0"/>
        <w:keepLines w:val="0"/>
        <w:pageBreakBefore w:val="0"/>
        <w:widowControl/>
        <w:shd w:val="clear" w:color="auto" w:fill="FFFFFF"/>
        <w:kinsoku/>
        <w:overflowPunct/>
        <w:topLinePunct w:val="0"/>
        <w:autoSpaceDE/>
        <w:autoSpaceDN/>
        <w:bidi w:val="0"/>
        <w:adjustRightInd/>
        <w:snapToGrid/>
        <w:spacing w:line="440" w:lineRule="exact"/>
        <w:ind w:firstLine="422"/>
        <w:textAlignment w:val="auto"/>
        <w:rPr>
          <w:rFonts w:hint="eastAsia" w:ascii="宋体" w:hAnsi="宋体" w:cs="宋体"/>
          <w:color w:val="auto"/>
          <w:szCs w:val="24"/>
        </w:rPr>
      </w:pPr>
      <w:r>
        <w:rPr>
          <w:rFonts w:hint="eastAsia" w:ascii="宋体" w:hAnsi="宋体" w:cs="宋体"/>
          <w:b/>
          <w:bCs/>
          <w:color w:val="auto"/>
          <w:szCs w:val="24"/>
        </w:rPr>
        <w:t>第十条 合同的变更和终止</w:t>
      </w:r>
    </w:p>
    <w:p w14:paraId="0699EE10">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1、本合同一经签订，甲乙双方不得擅自变更、中止或终止合同。</w:t>
      </w:r>
    </w:p>
    <w:p w14:paraId="7876CE15">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2、除发生法律规定的不能预见、不能避免并不能克服的客观情况外，甲乙双方不得放弃或拒绝履行合同。</w:t>
      </w:r>
    </w:p>
    <w:p w14:paraId="036B1FAF">
      <w:pPr>
        <w:keepNext w:val="0"/>
        <w:keepLines w:val="0"/>
        <w:pageBreakBefore w:val="0"/>
        <w:widowControl/>
        <w:shd w:val="clear" w:color="auto" w:fill="FFFFFF"/>
        <w:kinsoku/>
        <w:overflowPunct/>
        <w:topLinePunct w:val="0"/>
        <w:autoSpaceDE/>
        <w:autoSpaceDN/>
        <w:bidi w:val="0"/>
        <w:adjustRightInd/>
        <w:snapToGrid/>
        <w:spacing w:line="440" w:lineRule="exact"/>
        <w:ind w:firstLine="422"/>
        <w:textAlignment w:val="auto"/>
        <w:rPr>
          <w:rFonts w:hint="eastAsia" w:ascii="宋体" w:hAnsi="宋体" w:cs="宋体"/>
          <w:color w:val="auto"/>
          <w:szCs w:val="24"/>
        </w:rPr>
      </w:pPr>
      <w:r>
        <w:rPr>
          <w:rFonts w:hint="eastAsia" w:ascii="宋体" w:hAnsi="宋体" w:cs="宋体"/>
          <w:b/>
          <w:bCs/>
          <w:color w:val="auto"/>
          <w:szCs w:val="24"/>
        </w:rPr>
        <w:t>第十一条 合同的转让</w:t>
      </w:r>
    </w:p>
    <w:p w14:paraId="63E4DF11">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乙方不得擅自部分或全部转让其应履行的合同义务。</w:t>
      </w:r>
    </w:p>
    <w:p w14:paraId="04E66DAE">
      <w:pPr>
        <w:keepNext w:val="0"/>
        <w:keepLines w:val="0"/>
        <w:pageBreakBefore w:val="0"/>
        <w:widowControl/>
        <w:shd w:val="clear" w:color="auto" w:fill="FFFFFF"/>
        <w:kinsoku/>
        <w:overflowPunct/>
        <w:topLinePunct w:val="0"/>
        <w:autoSpaceDE/>
        <w:autoSpaceDN/>
        <w:bidi w:val="0"/>
        <w:adjustRightInd/>
        <w:snapToGrid/>
        <w:spacing w:line="440" w:lineRule="exact"/>
        <w:ind w:firstLine="422"/>
        <w:textAlignment w:val="auto"/>
        <w:rPr>
          <w:rFonts w:hint="eastAsia" w:ascii="宋体" w:hAnsi="宋体" w:cs="宋体"/>
          <w:color w:val="auto"/>
          <w:szCs w:val="24"/>
        </w:rPr>
      </w:pPr>
      <w:r>
        <w:rPr>
          <w:rFonts w:hint="eastAsia" w:ascii="宋体" w:hAnsi="宋体" w:cs="宋体"/>
          <w:b/>
          <w:bCs/>
          <w:color w:val="auto"/>
          <w:szCs w:val="24"/>
        </w:rPr>
        <w:t>第十二条 争议的解决</w:t>
      </w:r>
    </w:p>
    <w:p w14:paraId="51513444">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1、因履行本合同引起的或与本合同有关的争议，甲、乙双方应首先通过友好协商解决，如果协商不能解决争议，则采取以下（1）方式解决争议：</w:t>
      </w:r>
    </w:p>
    <w:p w14:paraId="324A676E">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（1）向甲方所在地有管辖权的人民法院提起诉讼；</w:t>
      </w:r>
    </w:p>
    <w:p w14:paraId="0522DA53">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（2）向南京仲裁委员会按其仲裁规则申请仲裁。</w:t>
      </w:r>
    </w:p>
    <w:p w14:paraId="2AEF12A8">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2、在诉讼期间，本合同应继续履行。</w:t>
      </w:r>
    </w:p>
    <w:p w14:paraId="7704DD88">
      <w:pPr>
        <w:keepNext w:val="0"/>
        <w:keepLines w:val="0"/>
        <w:pageBreakBefore w:val="0"/>
        <w:widowControl/>
        <w:shd w:val="clear" w:color="auto" w:fill="FFFFFF"/>
        <w:kinsoku/>
        <w:overflowPunct/>
        <w:topLinePunct w:val="0"/>
        <w:autoSpaceDE/>
        <w:autoSpaceDN/>
        <w:bidi w:val="0"/>
        <w:adjustRightInd/>
        <w:snapToGrid/>
        <w:spacing w:line="440" w:lineRule="exact"/>
        <w:ind w:firstLine="422"/>
        <w:textAlignment w:val="auto"/>
        <w:rPr>
          <w:rFonts w:hint="eastAsia" w:ascii="宋体" w:hAnsi="宋体" w:cs="宋体"/>
          <w:color w:val="auto"/>
          <w:szCs w:val="24"/>
        </w:rPr>
      </w:pPr>
      <w:r>
        <w:rPr>
          <w:rFonts w:hint="eastAsia" w:ascii="宋体" w:hAnsi="宋体" w:cs="宋体"/>
          <w:b/>
          <w:bCs/>
          <w:color w:val="auto"/>
          <w:szCs w:val="24"/>
        </w:rPr>
        <w:t>第十三条 诚实信用</w:t>
      </w:r>
    </w:p>
    <w:p w14:paraId="6C671804">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乙方应诚实信用，严格按照招标文件要求和承诺履行合同，不向甲方进行商业贿赂或者提供不正当利益。</w:t>
      </w:r>
    </w:p>
    <w:p w14:paraId="0D3FF64D">
      <w:pPr>
        <w:keepNext w:val="0"/>
        <w:keepLines w:val="0"/>
        <w:pageBreakBefore w:val="0"/>
        <w:widowControl/>
        <w:shd w:val="clear" w:color="auto" w:fill="FFFFFF"/>
        <w:kinsoku/>
        <w:overflowPunct/>
        <w:topLinePunct w:val="0"/>
        <w:autoSpaceDE/>
        <w:autoSpaceDN/>
        <w:bidi w:val="0"/>
        <w:adjustRightInd/>
        <w:snapToGrid/>
        <w:spacing w:line="440" w:lineRule="exact"/>
        <w:ind w:firstLine="422"/>
        <w:textAlignment w:val="auto"/>
        <w:rPr>
          <w:rFonts w:hint="eastAsia" w:ascii="宋体" w:hAnsi="宋体" w:cs="宋体"/>
          <w:color w:val="auto"/>
          <w:szCs w:val="24"/>
        </w:rPr>
      </w:pPr>
      <w:r>
        <w:rPr>
          <w:rFonts w:hint="eastAsia" w:ascii="宋体" w:hAnsi="宋体" w:cs="宋体"/>
          <w:b/>
          <w:bCs/>
          <w:color w:val="auto"/>
          <w:szCs w:val="24"/>
        </w:rPr>
        <w:t>第十四条 合同生效及其他</w:t>
      </w:r>
    </w:p>
    <w:p w14:paraId="5867EC8C">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1、本合同自签订之日起生效。</w:t>
      </w:r>
    </w:p>
    <w:p w14:paraId="3EA41C3C">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2、本合同一式四份，甲乙双方各执两份。</w:t>
      </w:r>
    </w:p>
    <w:p w14:paraId="7A56DB41">
      <w:pPr>
        <w:keepNext w:val="0"/>
        <w:keepLines w:val="0"/>
        <w:pageBreakBefore w:val="0"/>
        <w:widowControl/>
        <w:shd w:val="clear" w:color="auto" w:fill="FFFFFF"/>
        <w:kinsoku/>
        <w:overflowPunct/>
        <w:topLinePunct w:val="0"/>
        <w:autoSpaceDE/>
        <w:autoSpaceDN/>
        <w:bidi w:val="0"/>
        <w:adjustRightInd/>
        <w:snapToGrid/>
        <w:spacing w:line="440" w:lineRule="exact"/>
        <w:ind w:firstLine="420"/>
        <w:textAlignment w:val="auto"/>
        <w:rPr>
          <w:rFonts w:hint="eastAsia" w:ascii="宋体" w:hAnsi="宋体" w:cs="宋体"/>
          <w:color w:val="auto"/>
          <w:szCs w:val="24"/>
        </w:rPr>
      </w:pPr>
      <w:r>
        <w:rPr>
          <w:rFonts w:hint="eastAsia" w:ascii="宋体" w:hAnsi="宋体" w:cs="宋体"/>
          <w:color w:val="auto"/>
          <w:szCs w:val="24"/>
        </w:rPr>
        <w:t>3、本合同应按照中华人民共和国的现行法律进行解释。</w:t>
      </w:r>
    </w:p>
    <w:p w14:paraId="739545B1">
      <w:pPr>
        <w:keepNext w:val="0"/>
        <w:keepLines w:val="0"/>
        <w:pageBreakBefore w:val="0"/>
        <w:widowControl/>
        <w:kinsoku/>
        <w:overflowPunct/>
        <w:topLinePunct w:val="0"/>
        <w:autoSpaceDE/>
        <w:autoSpaceDN/>
        <w:bidi w:val="0"/>
        <w:adjustRightInd/>
        <w:snapToGrid/>
        <w:spacing w:line="440" w:lineRule="exact"/>
        <w:ind w:firstLine="480" w:firstLineChars="200"/>
        <w:textAlignment w:val="auto"/>
        <w:rPr>
          <w:rFonts w:hint="eastAsia" w:ascii="宋体" w:hAnsi="宋体" w:cs="宋体"/>
          <w:sz w:val="24"/>
        </w:rPr>
      </w:pPr>
    </w:p>
    <w:p w14:paraId="410C35BA">
      <w:pPr>
        <w:keepNext w:val="0"/>
        <w:keepLines w:val="0"/>
        <w:pageBreakBefore w:val="0"/>
        <w:widowControl/>
        <w:kinsoku/>
        <w:overflowPunct/>
        <w:topLinePunct w:val="0"/>
        <w:autoSpaceDE/>
        <w:autoSpaceDN/>
        <w:bidi w:val="0"/>
        <w:adjustRightInd/>
        <w:snapToGrid/>
        <w:spacing w:line="440" w:lineRule="exact"/>
        <w:ind w:left="6240" w:hanging="6240" w:hangingChars="2600"/>
        <w:textAlignment w:val="auto"/>
        <w:rPr>
          <w:rFonts w:hint="eastAsia" w:ascii="宋体" w:hAnsi="宋体" w:eastAsia="宋体" w:cs="宋体"/>
          <w:sz w:val="24"/>
          <w:lang w:eastAsia="zh-CN"/>
        </w:rPr>
      </w:pPr>
      <w:r>
        <w:rPr>
          <w:rFonts w:hint="eastAsia" w:ascii="宋体" w:hAnsi="宋体" w:eastAsia="宋体" w:cs="宋体"/>
          <w:sz w:val="24"/>
        </w:rPr>
        <w:t>甲方（单位盖章）：江苏省体育</w:t>
      </w:r>
      <w:r>
        <w:rPr>
          <w:rFonts w:hint="eastAsia" w:ascii="宋体" w:hAnsi="宋体" w:eastAsia="宋体" w:cs="宋体"/>
          <w:sz w:val="24"/>
          <w:lang w:val="en-US" w:eastAsia="zh-CN"/>
        </w:rPr>
        <w:t>总会</w:t>
      </w:r>
      <w:r>
        <w:rPr>
          <w:rFonts w:hint="eastAsia" w:ascii="宋体" w:hAnsi="宋体" w:eastAsia="宋体" w:cs="宋体"/>
          <w:sz w:val="24"/>
        </w:rPr>
        <w:t xml:space="preserve">  乙方（单位盖章）：江苏省广播电视集团有限公司 </w:t>
      </w:r>
      <w:r>
        <w:rPr>
          <w:rFonts w:hint="eastAsia" w:ascii="宋体" w:hAnsi="宋体" w:eastAsia="宋体" w:cs="宋体"/>
          <w:sz w:val="24"/>
          <w:lang w:val="en-US" w:eastAsia="zh-CN"/>
        </w:rPr>
        <w:t xml:space="preserve"> </w:t>
      </w:r>
    </w:p>
    <w:p w14:paraId="08AAC6F9">
      <w:pPr>
        <w:keepNext w:val="0"/>
        <w:keepLines w:val="0"/>
        <w:pageBreakBefore w:val="0"/>
        <w:widowControl/>
        <w:kinsoku/>
        <w:overflowPunct/>
        <w:topLinePunct w:val="0"/>
        <w:autoSpaceDE/>
        <w:autoSpaceDN/>
        <w:bidi w:val="0"/>
        <w:adjustRightInd/>
        <w:snapToGrid/>
        <w:spacing w:line="440" w:lineRule="exact"/>
        <w:textAlignment w:val="auto"/>
        <w:rPr>
          <w:rFonts w:hint="eastAsia" w:ascii="宋体" w:hAnsi="宋体" w:eastAsia="宋体" w:cs="宋体"/>
          <w:sz w:val="24"/>
          <w:lang w:val="en-US" w:eastAsia="zh-CN"/>
        </w:rPr>
      </w:pPr>
      <w:r>
        <w:rPr>
          <w:rFonts w:hint="eastAsia" w:ascii="宋体" w:hAnsi="宋体" w:eastAsia="宋体" w:cs="宋体"/>
          <w:sz w:val="24"/>
        </w:rPr>
        <w:t xml:space="preserve">地址：南京市广州路191号五环大厦  </w:t>
      </w:r>
      <w:r>
        <w:rPr>
          <w:rFonts w:hint="eastAsia" w:ascii="宋体" w:hAnsi="宋体" w:eastAsia="宋体" w:cs="宋体"/>
          <w:sz w:val="24"/>
          <w:lang w:val="en-US" w:eastAsia="zh-CN"/>
        </w:rPr>
        <w:t xml:space="preserve"> </w:t>
      </w:r>
      <w:r>
        <w:rPr>
          <w:rFonts w:hint="eastAsia" w:ascii="宋体" w:hAnsi="宋体" w:eastAsia="宋体" w:cs="宋体"/>
          <w:sz w:val="24"/>
        </w:rPr>
        <w:t>地址：南京市北京东路4号</w:t>
      </w:r>
      <w:r>
        <w:rPr>
          <w:rFonts w:hint="eastAsia" w:ascii="宋体" w:hAnsi="宋体" w:eastAsia="宋体" w:cs="宋体"/>
          <w:sz w:val="24"/>
          <w:lang w:val="en-US" w:eastAsia="zh-CN"/>
        </w:rPr>
        <w:t xml:space="preserve"> </w:t>
      </w:r>
    </w:p>
    <w:p w14:paraId="03FEDA35">
      <w:pPr>
        <w:keepNext w:val="0"/>
        <w:keepLines w:val="0"/>
        <w:pageBreakBefore w:val="0"/>
        <w:widowControl/>
        <w:kinsoku/>
        <w:overflowPunct/>
        <w:topLinePunct w:val="0"/>
        <w:autoSpaceDE/>
        <w:autoSpaceDN/>
        <w:bidi w:val="0"/>
        <w:adjustRightInd/>
        <w:snapToGrid/>
        <w:spacing w:line="440" w:lineRule="exact"/>
        <w:textAlignment w:val="auto"/>
        <w:rPr>
          <w:rFonts w:hint="eastAsia" w:ascii="宋体" w:hAnsi="宋体" w:eastAsia="宋体" w:cs="宋体"/>
          <w:sz w:val="24"/>
        </w:rPr>
      </w:pPr>
      <w:r>
        <w:rPr>
          <w:rFonts w:hint="eastAsia" w:ascii="宋体" w:hAnsi="宋体" w:eastAsia="宋体" w:cs="宋体"/>
          <w:sz w:val="24"/>
        </w:rPr>
        <w:t xml:space="preserve">法定代表人或授权代表签字：    </w:t>
      </w:r>
      <w:r>
        <w:rPr>
          <w:rFonts w:hint="eastAsia" w:ascii="宋体" w:hAnsi="宋体" w:eastAsia="宋体" w:cs="宋体"/>
          <w:sz w:val="24"/>
          <w:lang w:val="en-US" w:eastAsia="zh-CN"/>
        </w:rPr>
        <w:t xml:space="preserve">    </w:t>
      </w:r>
      <w:r>
        <w:rPr>
          <w:rFonts w:hint="eastAsia" w:ascii="宋体" w:hAnsi="宋体" w:eastAsia="宋体" w:cs="宋体"/>
          <w:sz w:val="24"/>
        </w:rPr>
        <w:t>法定代表人或授权代表签字：</w:t>
      </w:r>
    </w:p>
    <w:p w14:paraId="6CCC576F">
      <w:pPr>
        <w:keepNext w:val="0"/>
        <w:keepLines w:val="0"/>
        <w:pageBreakBefore w:val="0"/>
        <w:widowControl/>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rPr>
      </w:pPr>
    </w:p>
    <w:p w14:paraId="246C393E">
      <w:pPr>
        <w:keepNext w:val="0"/>
        <w:keepLines w:val="0"/>
        <w:pageBreakBefore w:val="0"/>
        <w:widowControl/>
        <w:kinsoku/>
        <w:overflowPunct/>
        <w:topLinePunct w:val="0"/>
        <w:autoSpaceDE/>
        <w:autoSpaceDN/>
        <w:bidi w:val="0"/>
        <w:adjustRightInd/>
        <w:snapToGrid/>
        <w:spacing w:line="440" w:lineRule="exact"/>
        <w:textAlignment w:val="auto"/>
        <w:rPr>
          <w:rFonts w:hint="eastAsia" w:ascii="宋体" w:hAnsi="宋体" w:eastAsia="宋体" w:cs="宋体"/>
          <w:sz w:val="24"/>
        </w:rPr>
      </w:pPr>
      <w:r>
        <w:rPr>
          <w:rFonts w:hint="eastAsia" w:ascii="宋体" w:hAnsi="宋体" w:eastAsia="宋体" w:cs="宋体"/>
          <w:sz w:val="24"/>
        </w:rPr>
        <w:t xml:space="preserve">联系方式：                        </w:t>
      </w:r>
      <w:r>
        <w:rPr>
          <w:rFonts w:hint="eastAsia" w:ascii="宋体" w:hAnsi="宋体" w:eastAsia="宋体" w:cs="宋体"/>
          <w:sz w:val="24"/>
          <w:lang w:val="en-US" w:eastAsia="zh-CN"/>
        </w:rPr>
        <w:t xml:space="preserve">                </w:t>
      </w:r>
      <w:r>
        <w:rPr>
          <w:rFonts w:hint="eastAsia" w:ascii="宋体" w:hAnsi="宋体" w:eastAsia="宋体" w:cs="宋体"/>
          <w:sz w:val="24"/>
        </w:rPr>
        <w:t>联系方式：</w:t>
      </w:r>
    </w:p>
    <w:p w14:paraId="4CCD2FEA">
      <w:pPr>
        <w:pStyle w:val="2"/>
        <w:keepNext w:val="0"/>
        <w:keepLines w:val="0"/>
        <w:pageBreakBefore w:val="0"/>
        <w:widowControl/>
        <w:kinsoku/>
        <w:overflowPunct/>
        <w:topLinePunct w:val="0"/>
        <w:autoSpaceDE/>
        <w:autoSpaceDN/>
        <w:bidi w:val="0"/>
        <w:adjustRightInd/>
        <w:snapToGrid/>
        <w:spacing w:line="440" w:lineRule="exact"/>
        <w:textAlignment w:val="auto"/>
        <w:rPr>
          <w:rFonts w:hint="eastAsia"/>
        </w:rPr>
      </w:pPr>
    </w:p>
    <w:p w14:paraId="7692F8E4">
      <w:pPr>
        <w:keepNext w:val="0"/>
        <w:keepLines w:val="0"/>
        <w:pageBreakBefore w:val="0"/>
        <w:widowControl/>
        <w:kinsoku/>
        <w:overflowPunct/>
        <w:topLinePunct w:val="0"/>
        <w:autoSpaceDE/>
        <w:autoSpaceDN/>
        <w:bidi w:val="0"/>
        <w:adjustRightInd/>
        <w:snapToGrid/>
        <w:spacing w:line="440" w:lineRule="exact"/>
        <w:ind w:firstLine="480" w:firstLineChars="200"/>
        <w:jc w:val="right"/>
        <w:textAlignment w:val="auto"/>
      </w:pPr>
      <w:r>
        <w:rPr>
          <w:rFonts w:hint="eastAsia" w:ascii="宋体" w:hAnsi="宋体" w:eastAsia="宋体" w:cs="宋体"/>
          <w:sz w:val="24"/>
        </w:rPr>
        <w:t>签订日期：202</w:t>
      </w:r>
      <w:r>
        <w:rPr>
          <w:rFonts w:hint="eastAsia" w:ascii="宋体" w:hAnsi="宋体" w:eastAsia="宋体" w:cs="宋体"/>
          <w:sz w:val="24"/>
          <w:lang w:val="en-US" w:eastAsia="zh-CN"/>
        </w:rPr>
        <w:t>5</w:t>
      </w:r>
      <w:r>
        <w:rPr>
          <w:rFonts w:hint="eastAsia" w:ascii="宋体" w:hAnsi="宋体" w:eastAsia="宋体" w:cs="宋体"/>
          <w:sz w:val="24"/>
        </w:rPr>
        <w:t>年</w:t>
      </w:r>
      <w:r>
        <w:rPr>
          <w:rFonts w:hint="eastAsia" w:ascii="宋体" w:hAnsi="宋体" w:eastAsia="宋体" w:cs="宋体"/>
          <w:sz w:val="24"/>
          <w:lang w:val="en-US" w:eastAsia="zh-CN"/>
        </w:rPr>
        <w:t xml:space="preserve">    </w:t>
      </w:r>
      <w:r>
        <w:rPr>
          <w:rFonts w:hint="eastAsia" w:ascii="宋体" w:hAnsi="宋体" w:eastAsia="宋体" w:cs="宋体"/>
          <w:sz w:val="24"/>
        </w:rPr>
        <w:t>月</w:t>
      </w:r>
      <w:r>
        <w:rPr>
          <w:rFonts w:hint="eastAsia" w:ascii="宋体" w:hAnsi="宋体" w:eastAsia="宋体" w:cs="宋体"/>
          <w:sz w:val="24"/>
          <w:lang w:val="en-US" w:eastAsia="zh-CN"/>
        </w:rPr>
        <w:t xml:space="preserve">   </w:t>
      </w:r>
      <w:r>
        <w:rPr>
          <w:rFonts w:hint="eastAsia" w:ascii="宋体" w:hAnsi="宋体" w:eastAsia="宋体" w:cs="宋体"/>
          <w:sz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roman"/>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altName w:val="方正仿宋_GBK"/>
    <w:panose1 w:val="02010609030001010101"/>
    <w:charset w:val="00"/>
    <w:family w:val="modern"/>
    <w:pitch w:val="default"/>
    <w:sig w:usb0="00000000" w:usb1="0000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singleLevel"/>
    <w:tmpl w:val="0000000A"/>
    <w:lvl w:ilvl="0" w:tentative="0">
      <w:start w:val="1"/>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ADE16F2"/>
    <w:rsid w:val="B5DF1EDA"/>
    <w:rsid w:val="DFEF3450"/>
    <w:rsid w:val="F7FF83D3"/>
    <w:rsid w:val="FADE16F2"/>
    <w:rsid w:val="FC7E9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color w:val="000000"/>
      <w:sz w:val="24"/>
      <w:lang w:val="en-US" w:eastAsia="zh-CN" w:bidi="ar-SA"/>
    </w:rPr>
  </w:style>
  <w:style w:type="paragraph" w:styleId="3">
    <w:name w:val="heading 3"/>
    <w:basedOn w:val="1"/>
    <w:next w:val="1"/>
    <w:qFormat/>
    <w:uiPriority w:val="0"/>
    <w:pPr>
      <w:keepNext/>
      <w:keepLines/>
      <w:widowControl w:val="0"/>
      <w:spacing w:before="260" w:after="260" w:line="413" w:lineRule="auto"/>
      <w:jc w:val="both"/>
      <w:outlineLvl w:val="2"/>
    </w:pPr>
    <w:rPr>
      <w:rFonts w:ascii="Times New Roman" w:hAnsi="Times New Roman" w:eastAsia="宋体" w:cs="Times New Roman"/>
      <w:b/>
      <w:sz w:val="32"/>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index 4"/>
    <w:basedOn w:val="1"/>
    <w:next w:val="1"/>
    <w:qFormat/>
    <w:uiPriority w:val="99"/>
    <w:pPr>
      <w:ind w:left="600" w:leftChars="600"/>
    </w:pPr>
    <w:rPr>
      <w:rFonts w:ascii="Calibri"/>
    </w:rPr>
  </w:style>
  <w:style w:type="paragraph" w:styleId="4">
    <w:name w:val="Block Text"/>
    <w:basedOn w:val="1"/>
    <w:next w:val="1"/>
    <w:uiPriority w:val="0"/>
    <w:pPr>
      <w:spacing w:line="360" w:lineRule="auto"/>
      <w:ind w:left="630" w:right="-609" w:firstLine="420"/>
    </w:pPr>
    <w:rPr>
      <w:rFonts w:ascii="仿宋_GB2312" w:hAnsi="仿宋_GB2312" w:eastAsia="仿宋_GB2312" w:cs="Times New Roman"/>
    </w:rPr>
  </w:style>
  <w:style w:type="paragraph" w:styleId="5">
    <w:name w:val="footer"/>
    <w:basedOn w:val="1"/>
    <w:uiPriority w:val="0"/>
    <w:pPr>
      <w:tabs>
        <w:tab w:val="center" w:pos="4153"/>
        <w:tab w:val="right" w:pos="8306"/>
      </w:tabs>
    </w:pPr>
    <w:rPr>
      <w:rFonts w:ascii="Times New Roman" w:hAnsi="Times New Roman" w:eastAsia="宋体" w:cs="Times New Roman"/>
      <w:sz w:val="18"/>
      <w:szCs w:val="18"/>
    </w:rPr>
  </w:style>
  <w:style w:type="paragraph" w:styleId="6">
    <w:name w:val="header"/>
    <w:basedOn w:val="1"/>
    <w:uiPriority w:val="0"/>
    <w:pPr>
      <w:pBdr>
        <w:bottom w:val="single" w:color="auto" w:sz="6" w:space="1"/>
      </w:pBdr>
      <w:tabs>
        <w:tab w:val="center" w:pos="4153"/>
        <w:tab w:val="right" w:pos="8306"/>
      </w:tabs>
      <w:jc w:val="center"/>
    </w:pPr>
    <w:rPr>
      <w:rFonts w:ascii="Times New Roman" w:hAnsi="Times New Roman" w:eastAsia="宋体" w:cs="Times New Roman"/>
      <w:sz w:val="18"/>
      <w:szCs w:val="18"/>
    </w:rPr>
  </w:style>
  <w:style w:type="paragraph" w:customStyle="1" w:styleId="9">
    <w:name w:val="段"/>
    <w:basedOn w:val="10"/>
    <w:next w:val="1"/>
    <w:uiPriority w:val="0"/>
    <w:pPr>
      <w:autoSpaceDE w:val="0"/>
      <w:autoSpaceDN w:val="0"/>
      <w:ind w:firstLine="200" w:firstLineChars="200"/>
    </w:pPr>
    <w:rPr>
      <w:rFonts w:ascii="Times New Roman" w:hAnsi="Times New Roman" w:eastAsia="宋体" w:cs="Times New Roman"/>
    </w:rPr>
  </w:style>
  <w:style w:type="paragraph" w:customStyle="1" w:styleId="10">
    <w:name w:val="正文13"/>
    <w:next w:val="11"/>
    <w:uiPriority w:val="0"/>
    <w:pPr>
      <w:widowControl w:val="0"/>
      <w:jc w:val="both"/>
    </w:pPr>
    <w:rPr>
      <w:rFonts w:ascii="Times New Roman" w:hAnsi="Times New Roman" w:eastAsia="宋体" w:cs="Times New Roman"/>
      <w:sz w:val="21"/>
      <w:szCs w:val="24"/>
      <w:lang w:val="en-US" w:eastAsia="zh-CN" w:bidi="ar-SA"/>
    </w:rPr>
  </w:style>
  <w:style w:type="paragraph" w:customStyle="1" w:styleId="11">
    <w:name w:val="正文首行缩进1"/>
    <w:basedOn w:val="12"/>
    <w:next w:val="22"/>
    <w:uiPriority w:val="0"/>
    <w:pPr>
      <w:suppressAutoHyphens/>
      <w:autoSpaceDE/>
      <w:autoSpaceDN/>
      <w:adjustRightInd/>
      <w:spacing w:after="120" w:afterLines="0" w:line="240" w:lineRule="auto"/>
      <w:ind w:firstLine="420"/>
      <w:jc w:val="left"/>
    </w:pPr>
    <w:rPr>
      <w:rFonts w:ascii="Times New Roman" w:hAnsi="Times New Roman" w:eastAsia="宋体" w:cs="Times New Roman"/>
      <w:kern w:val="1"/>
      <w:sz w:val="28"/>
      <w:szCs w:val="24"/>
      <w:lang w:val="en-US" w:eastAsia="ar-SA"/>
    </w:rPr>
  </w:style>
  <w:style w:type="paragraph" w:customStyle="1" w:styleId="12">
    <w:name w:val="正文文本1"/>
    <w:basedOn w:val="13"/>
    <w:uiPriority w:val="0"/>
    <w:pPr>
      <w:spacing w:after="120"/>
    </w:pPr>
    <w:rPr>
      <w:rFonts w:ascii="Calibri" w:hAnsi="Calibri" w:eastAsia="宋体" w:cs="Times New Roman"/>
    </w:rPr>
  </w:style>
  <w:style w:type="paragraph" w:customStyle="1" w:styleId="13">
    <w:name w:val="正文1"/>
    <w:basedOn w:val="14"/>
    <w:next w:val="12"/>
    <w:uiPriority w:val="0"/>
    <w:pPr>
      <w:widowControl w:val="0"/>
      <w:spacing w:line="360" w:lineRule="auto"/>
      <w:ind w:left="840" w:hanging="420"/>
      <w:jc w:val="both"/>
    </w:pPr>
    <w:rPr>
      <w:rFonts w:hint="default" w:ascii="黑体" w:hAnsi="黑体" w:eastAsia="黑体" w:cs="Times New Roman"/>
      <w:sz w:val="24"/>
      <w:lang w:val="en-US" w:eastAsia="zh-CN" w:bidi="ar-SA"/>
    </w:rPr>
  </w:style>
  <w:style w:type="paragraph" w:customStyle="1" w:styleId="14">
    <w:name w:val="正文111"/>
    <w:next w:val="15"/>
    <w:uiPriority w:val="0"/>
    <w:pPr>
      <w:widowControl w:val="0"/>
      <w:jc w:val="both"/>
    </w:pPr>
    <w:rPr>
      <w:rFonts w:ascii="Times New Roman" w:hAnsi="Times New Roman" w:eastAsia="宋体" w:cs="Times New Roman"/>
      <w:sz w:val="21"/>
      <w:szCs w:val="24"/>
      <w:lang w:val="en-US" w:eastAsia="zh-CN" w:bidi="ar-SA"/>
    </w:rPr>
  </w:style>
  <w:style w:type="paragraph" w:customStyle="1" w:styleId="15">
    <w:name w:val="目录 11"/>
    <w:basedOn w:val="16"/>
    <w:next w:val="14"/>
    <w:uiPriority w:val="0"/>
    <w:pPr>
      <w:widowControl/>
      <w:spacing w:after="100" w:line="259" w:lineRule="auto"/>
      <w:jc w:val="left"/>
    </w:pPr>
    <w:rPr>
      <w:rFonts w:ascii="Calibri" w:hAnsi="Calibri" w:eastAsia="宋体" w:cs="Times New Roman"/>
      <w:sz w:val="22"/>
    </w:rPr>
  </w:style>
  <w:style w:type="paragraph" w:customStyle="1" w:styleId="16">
    <w:name w:val="正文11"/>
    <w:next w:val="17"/>
    <w:uiPriority w:val="0"/>
    <w:pPr>
      <w:widowControl w:val="0"/>
      <w:spacing w:line="440" w:lineRule="exact"/>
      <w:ind w:firstLine="480"/>
      <w:jc w:val="both"/>
    </w:pPr>
    <w:rPr>
      <w:rFonts w:ascii="宋体" w:hAnsi="宋体" w:eastAsia="宋体" w:cs="Times New Roman"/>
      <w:bCs/>
      <w:sz w:val="24"/>
      <w:szCs w:val="24"/>
      <w:lang w:val="en-US" w:eastAsia="zh-CN" w:bidi="ar-SA"/>
    </w:rPr>
  </w:style>
  <w:style w:type="paragraph" w:customStyle="1" w:styleId="17">
    <w:name w:val="文本块1"/>
    <w:basedOn w:val="18"/>
    <w:next w:val="21"/>
    <w:uiPriority w:val="0"/>
    <w:pPr>
      <w:ind w:left="256" w:right="6" w:firstLine="624"/>
    </w:pPr>
    <w:rPr>
      <w:rFonts w:ascii="Times New Roman" w:hAnsi="Times New Roman" w:eastAsia="仿宋" w:cs="Times New Roman"/>
      <w:sz w:val="28"/>
      <w:szCs w:val="20"/>
    </w:rPr>
  </w:style>
  <w:style w:type="paragraph" w:customStyle="1" w:styleId="18">
    <w:name w:val="正文12"/>
    <w:next w:val="19"/>
    <w:uiPriority w:val="0"/>
    <w:pPr>
      <w:widowControl w:val="0"/>
      <w:spacing w:line="360" w:lineRule="auto"/>
      <w:ind w:firstLine="723"/>
      <w:jc w:val="both"/>
    </w:pPr>
    <w:rPr>
      <w:rFonts w:ascii="Times New Roman" w:hAnsi="Times New Roman" w:eastAsia="宋体" w:cs="Times New Roman"/>
      <w:sz w:val="24"/>
      <w:szCs w:val="24"/>
      <w:lang w:val="en-US" w:eastAsia="zh-CN" w:bidi="ar-SA"/>
    </w:rPr>
  </w:style>
  <w:style w:type="paragraph" w:customStyle="1" w:styleId="19">
    <w:name w:val="脚注文本1"/>
    <w:basedOn w:val="13"/>
    <w:next w:val="20"/>
    <w:uiPriority w:val="0"/>
    <w:pPr>
      <w:jc w:val="left"/>
    </w:pPr>
    <w:rPr>
      <w:rFonts w:ascii="Times New Roman" w:hAnsi="Times New Roman" w:eastAsia="Times New Roman" w:cs="Times New Roman"/>
      <w:sz w:val="18"/>
      <w:szCs w:val="18"/>
    </w:rPr>
  </w:style>
  <w:style w:type="paragraph" w:customStyle="1" w:styleId="20">
    <w:name w:val="索引 51"/>
    <w:basedOn w:val="13"/>
    <w:next w:val="13"/>
    <w:uiPriority w:val="0"/>
    <w:pPr>
      <w:ind w:left="798"/>
      <w:jc w:val="left"/>
    </w:pPr>
    <w:rPr>
      <w:rFonts w:ascii="Calibri" w:hAnsi="Calibri" w:eastAsia="宋体" w:cs="Times New Roman"/>
    </w:rPr>
  </w:style>
  <w:style w:type="paragraph" w:customStyle="1" w:styleId="21">
    <w:name w:val="标题 41"/>
    <w:basedOn w:val="1"/>
    <w:next w:val="16"/>
    <w:uiPriority w:val="0"/>
    <w:pPr>
      <w:keepNext/>
      <w:keepLines/>
      <w:spacing w:before="280" w:after="290" w:line="376" w:lineRule="auto"/>
      <w:outlineLvl w:val="3"/>
    </w:pPr>
    <w:rPr>
      <w:rFonts w:ascii="Arial" w:hAnsi="Arial" w:eastAsia="黑体" w:cs="Times New Roman"/>
      <w:b/>
      <w:bCs/>
      <w:sz w:val="28"/>
      <w:szCs w:val="28"/>
    </w:rPr>
  </w:style>
  <w:style w:type="paragraph" w:customStyle="1" w:styleId="22">
    <w:name w:val="正文首行缩进 211"/>
    <w:basedOn w:val="23"/>
    <w:next w:val="24"/>
    <w:uiPriority w:val="0"/>
    <w:pPr>
      <w:ind w:firstLine="420"/>
    </w:pPr>
    <w:rPr>
      <w:rFonts w:ascii="Times New Roman" w:hAnsi="Times New Roman" w:eastAsia="宋体" w:cs="Times New Roman"/>
      <w:sz w:val="24"/>
    </w:rPr>
  </w:style>
  <w:style w:type="paragraph" w:customStyle="1" w:styleId="23">
    <w:name w:val="正文文本缩进11"/>
    <w:basedOn w:val="24"/>
    <w:next w:val="24"/>
    <w:uiPriority w:val="0"/>
    <w:pPr>
      <w:ind w:firstLine="538"/>
    </w:pPr>
    <w:rPr>
      <w:rFonts w:ascii="Times New Roman" w:hAnsi="Times New Roman" w:eastAsia="宋体" w:cs="Times New Roman"/>
      <w:sz w:val="28"/>
    </w:rPr>
  </w:style>
  <w:style w:type="paragraph" w:customStyle="1" w:styleId="24">
    <w:name w:val="正文112"/>
    <w:next w:val="11"/>
    <w:uiPriority w:val="0"/>
    <w:pPr>
      <w:widowControl w:val="0"/>
      <w:jc w:val="both"/>
    </w:pPr>
    <w:rPr>
      <w:rFonts w:ascii="Times New Roman" w:hAnsi="Times New Roman" w:eastAsia="宋体" w:cs="Times New Roman"/>
      <w:sz w:val="21"/>
      <w:szCs w:val="24"/>
      <w:lang w:val="en-US" w:eastAsia="zh-CN" w:bidi="ar-SA"/>
    </w:rPr>
  </w:style>
  <w:style w:type="paragraph" w:customStyle="1" w:styleId="25">
    <w:name w:val="正文文本 21"/>
    <w:basedOn w:val="1"/>
    <w:uiPriority w:val="0"/>
    <w:pPr>
      <w:spacing w:after="120" w:line="480" w:lineRule="auto"/>
    </w:pPr>
    <w:rPr>
      <w:rFonts w:ascii="Calibri" w:hAnsi="Calibri"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Office_12.1.22553.22553_F1E327BC-269C-435d-A152-05C5408002CA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2025-10-23T11:05:00Z</dcterms:created>
  <dc:creator>Lucky</dc:creator>
  <cp:lastModifiedBy>Lucky</cp:lastModifiedBy>
  <dcterms:modified xsi:type="dcterms:W3CDTF">2025-10-23T17:14:35Z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2052-12.1.22553.22553</vt:lpwstr>
  </property>
  <property fmtid="{D5CDD505-2E9C-101B-9397-08002B2CF9AE}" pid="3" name="ICV">
    <vt:lpwstr>14F5BC6C5ABC377AFA49F868F2EEAC2C_41</vt:lpwstr>
  </property>
</Properties>
</file>