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Times New Roman" w:hAnsi="Times New Roman" w:eastAsia="方正黑体_GBK"/>
          <w:szCs w:val="32"/>
        </w:rPr>
      </w:pPr>
      <w:r>
        <w:rPr>
          <w:rFonts w:hint="eastAsia" w:ascii="方正黑体_GBK" w:hAnsi="黑体" w:eastAsia="方正黑体_GBK"/>
          <w:szCs w:val="32"/>
        </w:rPr>
        <w:t>附件2</w:t>
      </w:r>
    </w:p>
    <w:p>
      <w:pPr>
        <w:pStyle w:val="2"/>
        <w:autoSpaceDE w:val="0"/>
        <w:autoSpaceDN w:val="0"/>
        <w:spacing w:before="290" w:beforeLines="50" w:after="116" w:afterLines="20" w:line="560" w:lineRule="exact"/>
        <w:jc w:val="center"/>
        <w:rPr>
          <w:rFonts w:ascii="Times New Roman" w:hAnsi="Times New Roman" w:eastAsia="方正小标宋_GBK"/>
          <w:sz w:val="44"/>
          <w:szCs w:val="44"/>
        </w:rPr>
      </w:pPr>
      <w:r>
        <w:rPr>
          <w:rFonts w:ascii="Times New Roman" w:hAnsi="Times New Roman" w:eastAsia="方正小标宋_GBK"/>
          <w:sz w:val="44"/>
          <w:szCs w:val="44"/>
        </w:rPr>
        <w:t>公共体育场馆免费低收费开放</w:t>
      </w:r>
      <w:bookmarkStart w:id="0" w:name="_Hlk11275154"/>
      <w:r>
        <w:rPr>
          <w:rFonts w:ascii="Times New Roman" w:hAnsi="Times New Roman" w:eastAsia="方正小标宋_GBK"/>
          <w:sz w:val="44"/>
          <w:szCs w:val="44"/>
        </w:rPr>
        <w:t>服务</w:t>
      </w:r>
      <w:bookmarkEnd w:id="0"/>
      <w:r>
        <w:rPr>
          <w:rFonts w:ascii="Times New Roman" w:hAnsi="Times New Roman" w:eastAsia="方正小标宋_GBK"/>
          <w:sz w:val="44"/>
          <w:szCs w:val="44"/>
        </w:rPr>
        <w:t>评价指引（试行）填报说明</w:t>
      </w:r>
    </w:p>
    <w:tbl>
      <w:tblPr>
        <w:tblStyle w:val="3"/>
        <w:tblW w:w="143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857"/>
        <w:gridCol w:w="418"/>
        <w:gridCol w:w="3212"/>
        <w:gridCol w:w="4708"/>
        <w:gridCol w:w="2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blHeader/>
          <w:jc w:val="center"/>
        </w:trPr>
        <w:tc>
          <w:tcPr>
            <w:tcW w:w="3170" w:type="dxa"/>
            <w:gridSpan w:val="2"/>
            <w:vMerge w:val="restart"/>
            <w:shd w:val="clear" w:color="auto" w:fill="auto"/>
            <w:vAlign w:val="center"/>
          </w:tcPr>
          <w:p>
            <w:pPr>
              <w:widowControl/>
              <w:snapToGrid w:val="0"/>
              <w:spacing w:line="300" w:lineRule="exact"/>
              <w:jc w:val="center"/>
              <w:textAlignment w:val="baseline"/>
              <w:rPr>
                <w:rFonts w:ascii="方正黑体_GBK" w:hAnsi="Times New Roman" w:eastAsia="方正黑体_GBK"/>
                <w:bCs/>
                <w:kern w:val="0"/>
                <w:sz w:val="21"/>
                <w:szCs w:val="21"/>
              </w:rPr>
            </w:pPr>
            <w:bookmarkStart w:id="1" w:name="_Hlk76567025"/>
            <w:r>
              <w:rPr>
                <w:rFonts w:hint="eastAsia" w:ascii="方正黑体_GBK" w:hAnsi="Times New Roman" w:eastAsia="方正黑体_GBK"/>
                <w:bCs/>
                <w:kern w:val="0"/>
                <w:sz w:val="21"/>
                <w:szCs w:val="21"/>
              </w:rPr>
              <w:t>评价内容</w:t>
            </w:r>
          </w:p>
        </w:tc>
        <w:tc>
          <w:tcPr>
            <w:tcW w:w="418" w:type="dxa"/>
            <w:vMerge w:val="restart"/>
            <w:shd w:val="clear" w:color="auto" w:fill="auto"/>
            <w:vAlign w:val="center"/>
          </w:tcPr>
          <w:p>
            <w:pPr>
              <w:widowControl/>
              <w:snapToGrid w:val="0"/>
              <w:spacing w:line="300" w:lineRule="exact"/>
              <w:jc w:val="center"/>
              <w:textAlignment w:val="baseline"/>
              <w:rPr>
                <w:rFonts w:ascii="方正黑体_GBK" w:hAnsi="Times New Roman" w:eastAsia="方正黑体_GBK"/>
                <w:bCs/>
                <w:kern w:val="0"/>
                <w:sz w:val="21"/>
                <w:szCs w:val="21"/>
              </w:rPr>
            </w:pPr>
            <w:r>
              <w:rPr>
                <w:rFonts w:hint="eastAsia" w:ascii="方正黑体_GBK" w:hAnsi="Times New Roman" w:eastAsia="方正黑体_GBK"/>
                <w:bCs/>
                <w:kern w:val="0"/>
                <w:sz w:val="21"/>
                <w:szCs w:val="21"/>
              </w:rPr>
              <w:t>分值</w:t>
            </w:r>
          </w:p>
        </w:tc>
        <w:tc>
          <w:tcPr>
            <w:tcW w:w="7920" w:type="dxa"/>
            <w:gridSpan w:val="2"/>
            <w:shd w:val="clear" w:color="auto" w:fill="auto"/>
            <w:vAlign w:val="center"/>
          </w:tcPr>
          <w:p>
            <w:pPr>
              <w:widowControl/>
              <w:snapToGrid w:val="0"/>
              <w:spacing w:line="300" w:lineRule="exact"/>
              <w:jc w:val="center"/>
              <w:textAlignment w:val="baseline"/>
              <w:rPr>
                <w:rFonts w:ascii="方正黑体_GBK" w:hAnsi="Times New Roman" w:eastAsia="方正黑体_GBK"/>
                <w:bCs/>
                <w:kern w:val="0"/>
                <w:sz w:val="21"/>
                <w:szCs w:val="21"/>
              </w:rPr>
            </w:pPr>
            <w:r>
              <w:rPr>
                <w:rFonts w:hint="eastAsia" w:ascii="方正黑体_GBK" w:hAnsi="Times New Roman" w:eastAsia="方正黑体_GBK"/>
                <w:bCs/>
                <w:kern w:val="0"/>
                <w:sz w:val="21"/>
                <w:szCs w:val="21"/>
              </w:rPr>
              <w:t>评价细则</w:t>
            </w:r>
          </w:p>
        </w:tc>
        <w:tc>
          <w:tcPr>
            <w:tcW w:w="2875" w:type="dxa"/>
            <w:vMerge w:val="restart"/>
            <w:vAlign w:val="center"/>
          </w:tcPr>
          <w:p>
            <w:pPr>
              <w:widowControl/>
              <w:snapToGrid w:val="0"/>
              <w:spacing w:line="300" w:lineRule="exact"/>
              <w:jc w:val="center"/>
              <w:textAlignment w:val="baseline"/>
              <w:rPr>
                <w:rFonts w:ascii="方正黑体_GBK" w:hAnsi="Times New Roman" w:eastAsia="方正黑体_GBK"/>
                <w:bCs/>
                <w:kern w:val="0"/>
                <w:sz w:val="21"/>
                <w:szCs w:val="21"/>
              </w:rPr>
            </w:pPr>
            <w:r>
              <w:rPr>
                <w:rFonts w:hint="eastAsia" w:ascii="方正黑体_GBK" w:hAnsi="Times New Roman" w:eastAsia="方正黑体_GBK"/>
                <w:bCs/>
                <w:kern w:val="0"/>
                <w:sz w:val="21"/>
                <w:szCs w:val="21"/>
              </w:rPr>
              <w:t>提交材料的要求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blHeader/>
          <w:jc w:val="center"/>
        </w:trPr>
        <w:tc>
          <w:tcPr>
            <w:tcW w:w="3170" w:type="dxa"/>
            <w:gridSpan w:val="2"/>
            <w:vMerge w:val="continue"/>
            <w:vAlign w:val="center"/>
          </w:tcPr>
          <w:p>
            <w:pPr>
              <w:widowControl/>
              <w:snapToGrid w:val="0"/>
              <w:spacing w:line="300" w:lineRule="exact"/>
              <w:jc w:val="left"/>
              <w:textAlignment w:val="baseline"/>
              <w:rPr>
                <w:rFonts w:ascii="方正黑体_GBK" w:hAnsi="Times New Roman" w:eastAsia="方正黑体_GBK"/>
                <w:bCs/>
                <w:kern w:val="0"/>
                <w:sz w:val="21"/>
                <w:szCs w:val="21"/>
              </w:rPr>
            </w:pPr>
          </w:p>
        </w:tc>
        <w:tc>
          <w:tcPr>
            <w:tcW w:w="418" w:type="dxa"/>
            <w:vMerge w:val="continue"/>
            <w:vAlign w:val="center"/>
          </w:tcPr>
          <w:p>
            <w:pPr>
              <w:widowControl/>
              <w:snapToGrid w:val="0"/>
              <w:spacing w:line="300" w:lineRule="exact"/>
              <w:jc w:val="left"/>
              <w:textAlignment w:val="baseline"/>
              <w:rPr>
                <w:rFonts w:ascii="方正黑体_GBK" w:hAnsi="Times New Roman" w:eastAsia="方正黑体_GBK"/>
                <w:bCs/>
                <w:kern w:val="0"/>
                <w:sz w:val="21"/>
                <w:szCs w:val="21"/>
              </w:rPr>
            </w:pPr>
          </w:p>
        </w:tc>
        <w:tc>
          <w:tcPr>
            <w:tcW w:w="3212" w:type="dxa"/>
            <w:shd w:val="clear" w:color="auto" w:fill="auto"/>
            <w:vAlign w:val="center"/>
          </w:tcPr>
          <w:p>
            <w:pPr>
              <w:widowControl/>
              <w:snapToGrid w:val="0"/>
              <w:spacing w:line="300" w:lineRule="exact"/>
              <w:jc w:val="center"/>
              <w:textAlignment w:val="baseline"/>
              <w:rPr>
                <w:rFonts w:ascii="方正黑体_GBK" w:hAnsi="Times New Roman" w:eastAsia="方正黑体_GBK"/>
                <w:bCs/>
                <w:kern w:val="0"/>
                <w:sz w:val="21"/>
                <w:szCs w:val="21"/>
              </w:rPr>
            </w:pPr>
            <w:r>
              <w:rPr>
                <w:rFonts w:hint="eastAsia" w:ascii="方正黑体_GBK" w:hAnsi="Times New Roman" w:eastAsia="方正黑体_GBK"/>
                <w:bCs/>
                <w:kern w:val="0"/>
                <w:sz w:val="21"/>
                <w:szCs w:val="21"/>
              </w:rPr>
              <w:t>计分规则</w:t>
            </w:r>
          </w:p>
        </w:tc>
        <w:tc>
          <w:tcPr>
            <w:tcW w:w="4708" w:type="dxa"/>
            <w:shd w:val="clear" w:color="auto" w:fill="auto"/>
            <w:vAlign w:val="center"/>
          </w:tcPr>
          <w:p>
            <w:pPr>
              <w:widowControl/>
              <w:snapToGrid w:val="0"/>
              <w:spacing w:line="300" w:lineRule="exact"/>
              <w:jc w:val="center"/>
              <w:textAlignment w:val="baseline"/>
              <w:rPr>
                <w:rFonts w:ascii="方正黑体_GBK" w:hAnsi="Times New Roman" w:eastAsia="方正黑体_GBK"/>
                <w:bCs/>
                <w:kern w:val="0"/>
                <w:sz w:val="21"/>
                <w:szCs w:val="21"/>
              </w:rPr>
            </w:pPr>
            <w:r>
              <w:rPr>
                <w:rFonts w:hint="eastAsia" w:ascii="方正黑体_GBK" w:hAnsi="Times New Roman" w:eastAsia="方正黑体_GBK"/>
                <w:bCs/>
                <w:kern w:val="0"/>
                <w:sz w:val="21"/>
                <w:szCs w:val="21"/>
              </w:rPr>
              <w:t>说 明</w:t>
            </w:r>
          </w:p>
        </w:tc>
        <w:tc>
          <w:tcPr>
            <w:tcW w:w="2875" w:type="dxa"/>
            <w:vMerge w:val="continue"/>
          </w:tcPr>
          <w:p>
            <w:pPr>
              <w:widowControl/>
              <w:snapToGrid w:val="0"/>
              <w:spacing w:line="300" w:lineRule="exact"/>
              <w:jc w:val="center"/>
              <w:textAlignment w:val="baseline"/>
              <w:rPr>
                <w:rFonts w:ascii="方正黑体_GBK" w:hAnsi="Times New Roman" w:eastAsia="方正黑体_GBK"/>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508" w:type="dxa"/>
            <w:gridSpan w:val="5"/>
            <w:vAlign w:val="center"/>
          </w:tcPr>
          <w:p>
            <w:pPr>
              <w:widowControl/>
              <w:snapToGrid w:val="0"/>
              <w:spacing w:line="300" w:lineRule="exact"/>
              <w:jc w:val="left"/>
              <w:textAlignment w:val="baseline"/>
              <w:rPr>
                <w:rFonts w:ascii="方正黑体_GBK" w:hAnsi="Times New Roman" w:eastAsia="方正黑体_GBK"/>
                <w:bCs/>
                <w:kern w:val="0"/>
                <w:sz w:val="21"/>
                <w:szCs w:val="21"/>
              </w:rPr>
            </w:pPr>
            <w:r>
              <w:rPr>
                <w:rFonts w:hint="eastAsia" w:ascii="方正黑体_GBK" w:hAnsi="Times New Roman" w:eastAsia="方正黑体_GBK"/>
                <w:bCs/>
                <w:kern w:val="0"/>
                <w:sz w:val="21"/>
                <w:szCs w:val="21"/>
              </w:rPr>
              <w:t>一、健身场地开放面积及开放率（10分）</w:t>
            </w:r>
          </w:p>
        </w:tc>
        <w:tc>
          <w:tcPr>
            <w:tcW w:w="2875" w:type="dxa"/>
          </w:tcPr>
          <w:p>
            <w:pPr>
              <w:widowControl/>
              <w:snapToGrid w:val="0"/>
              <w:spacing w:line="300" w:lineRule="exact"/>
              <w:jc w:val="left"/>
              <w:textAlignment w:val="baseline"/>
              <w:rPr>
                <w:rFonts w:ascii="方正黑体_GBK" w:hAnsi="Times New Roman" w:eastAsia="方正黑体_GBK"/>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3170" w:type="dxa"/>
            <w:gridSpan w:val="2"/>
            <w:vAlign w:val="center"/>
          </w:tcPr>
          <w:p>
            <w:pPr>
              <w:widowControl/>
              <w:snapToGrid w:val="0"/>
              <w:spacing w:line="300" w:lineRule="exact"/>
              <w:jc w:val="lef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1.1体育场馆核心区免费或低收费开放的健身场地总面积</w:t>
            </w:r>
          </w:p>
        </w:tc>
        <w:tc>
          <w:tcPr>
            <w:tcW w:w="418" w:type="dxa"/>
            <w:vAlign w:val="center"/>
          </w:tcPr>
          <w:p>
            <w:pPr>
              <w:widowControl/>
              <w:snapToGrid w:val="0"/>
              <w:spacing w:line="300" w:lineRule="exact"/>
              <w:jc w:val="center"/>
              <w:textAlignment w:val="baseline"/>
              <w:rPr>
                <w:rFonts w:ascii="方正仿宋_GBK" w:hAnsi="Times New Roman" w:eastAsia="方正仿宋_GBK"/>
                <w:b/>
                <w:bCs/>
                <w:kern w:val="0"/>
                <w:sz w:val="21"/>
                <w:szCs w:val="21"/>
              </w:rPr>
            </w:pPr>
            <w:r>
              <w:rPr>
                <w:rFonts w:hint="eastAsia" w:ascii="方正仿宋_GBK" w:hAnsi="Times New Roman" w:eastAsia="方正仿宋_GBK"/>
                <w:kern w:val="0"/>
                <w:sz w:val="21"/>
                <w:szCs w:val="21"/>
              </w:rPr>
              <w:t>5</w:t>
            </w:r>
          </w:p>
        </w:tc>
        <w:tc>
          <w:tcPr>
            <w:tcW w:w="3212" w:type="dxa"/>
            <w:shd w:val="clear" w:color="auto" w:fill="auto"/>
            <w:vAlign w:val="center"/>
          </w:tcPr>
          <w:p>
            <w:pPr>
              <w:widowControl/>
              <w:snapToGrid w:val="0"/>
              <w:spacing w:line="30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符合第一类要求，得5分；</w:t>
            </w:r>
          </w:p>
          <w:p>
            <w:pPr>
              <w:widowControl/>
              <w:snapToGrid w:val="0"/>
              <w:spacing w:line="30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符合第二类要求，得4分；</w:t>
            </w:r>
          </w:p>
          <w:p>
            <w:pPr>
              <w:widowControl/>
              <w:snapToGrid w:val="0"/>
              <w:spacing w:line="30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符合第三类要求，得3分；</w:t>
            </w:r>
          </w:p>
          <w:p>
            <w:pPr>
              <w:widowControl/>
              <w:snapToGrid w:val="0"/>
              <w:spacing w:line="30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符合第四类要求，得2分；</w:t>
            </w:r>
          </w:p>
          <w:p>
            <w:pPr>
              <w:widowControl/>
              <w:snapToGrid w:val="0"/>
              <w:spacing w:line="300" w:lineRule="exact"/>
              <w:textAlignment w:val="baseline"/>
              <w:rPr>
                <w:rFonts w:ascii="方正仿宋_GBK" w:hAnsi="Times New Roman" w:eastAsia="方正仿宋_GBK"/>
                <w:b/>
                <w:bCs/>
                <w:kern w:val="0"/>
                <w:sz w:val="21"/>
                <w:szCs w:val="21"/>
              </w:rPr>
            </w:pPr>
            <w:r>
              <w:rPr>
                <w:rFonts w:hint="eastAsia" w:ascii="方正仿宋_GBK" w:hAnsi="Times New Roman" w:eastAsia="方正仿宋_GBK"/>
                <w:kern w:val="0"/>
                <w:sz w:val="21"/>
                <w:szCs w:val="21"/>
              </w:rPr>
              <w:t>符合第五类要求，得1分。</w:t>
            </w:r>
          </w:p>
        </w:tc>
        <w:tc>
          <w:tcPr>
            <w:tcW w:w="4708" w:type="dxa"/>
            <w:shd w:val="clear" w:color="auto" w:fill="auto"/>
            <w:vAlign w:val="center"/>
          </w:tcPr>
          <w:p>
            <w:pPr>
              <w:widowControl/>
              <w:snapToGrid w:val="0"/>
              <w:spacing w:line="30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满分5分。</w:t>
            </w:r>
          </w:p>
          <w:p>
            <w:pPr>
              <w:widowControl/>
              <w:snapToGrid w:val="0"/>
              <w:spacing w:line="30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健身场地总面积分五类：</w:t>
            </w:r>
          </w:p>
          <w:p>
            <w:pPr>
              <w:widowControl/>
              <w:snapToGrid w:val="0"/>
              <w:spacing w:line="30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第一类：健身场地总面积≥30000㎡；</w:t>
            </w:r>
          </w:p>
          <w:p>
            <w:pPr>
              <w:widowControl/>
              <w:snapToGrid w:val="0"/>
              <w:spacing w:line="30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第二类：15000㎡≤健身场地总面积＜30000㎡；</w:t>
            </w:r>
          </w:p>
          <w:p>
            <w:pPr>
              <w:widowControl/>
              <w:snapToGrid w:val="0"/>
              <w:spacing w:line="30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第三类：8000㎡≤健身场地总面积＜15000㎡；</w:t>
            </w:r>
          </w:p>
          <w:p>
            <w:pPr>
              <w:widowControl/>
              <w:snapToGrid w:val="0"/>
              <w:spacing w:line="30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第四类：4000㎡≤健身场地总面积＜8000㎡；</w:t>
            </w:r>
          </w:p>
          <w:p>
            <w:pPr>
              <w:widowControl/>
              <w:snapToGrid w:val="0"/>
              <w:spacing w:line="30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第五类：1000㎡≤健身场地总面积＜4000㎡。</w:t>
            </w:r>
          </w:p>
        </w:tc>
        <w:tc>
          <w:tcPr>
            <w:tcW w:w="2875" w:type="dxa"/>
            <w:vAlign w:val="center"/>
          </w:tcPr>
          <w:p>
            <w:pPr>
              <w:widowControl/>
              <w:snapToGrid w:val="0"/>
              <w:spacing w:line="30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填写体育场馆核心区免费或低收费开放的健身场地面积及四至坐标。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3170" w:type="dxa"/>
            <w:gridSpan w:val="2"/>
            <w:vAlign w:val="center"/>
          </w:tcPr>
          <w:p>
            <w:pPr>
              <w:widowControl/>
              <w:snapToGrid w:val="0"/>
              <w:spacing w:line="300" w:lineRule="exact"/>
              <w:jc w:val="lef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1.2体育场馆核心区健身场地免费或低收费开放率</w:t>
            </w:r>
          </w:p>
        </w:tc>
        <w:tc>
          <w:tcPr>
            <w:tcW w:w="418" w:type="dxa"/>
            <w:vAlign w:val="center"/>
          </w:tcPr>
          <w:p>
            <w:pPr>
              <w:widowControl/>
              <w:snapToGrid w:val="0"/>
              <w:spacing w:line="300" w:lineRule="exact"/>
              <w:jc w:val="center"/>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5</w:t>
            </w:r>
          </w:p>
        </w:tc>
        <w:tc>
          <w:tcPr>
            <w:tcW w:w="3212" w:type="dxa"/>
            <w:shd w:val="clear" w:color="auto" w:fill="auto"/>
            <w:vAlign w:val="center"/>
          </w:tcPr>
          <w:p>
            <w:pPr>
              <w:widowControl/>
              <w:snapToGrid w:val="0"/>
              <w:spacing w:line="30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开放率≥80%，得5分；</w:t>
            </w:r>
          </w:p>
          <w:p>
            <w:pPr>
              <w:widowControl/>
              <w:snapToGrid w:val="0"/>
              <w:spacing w:line="30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50%≤开放率＜80%，得3分；</w:t>
            </w:r>
          </w:p>
          <w:p>
            <w:pPr>
              <w:widowControl/>
              <w:snapToGrid w:val="0"/>
              <w:spacing w:line="30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30%≤开放率＜50%，得1分；</w:t>
            </w:r>
          </w:p>
          <w:p>
            <w:pPr>
              <w:widowControl/>
              <w:snapToGrid w:val="0"/>
              <w:spacing w:line="30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开放率＜30%，不得分。</w:t>
            </w:r>
          </w:p>
        </w:tc>
        <w:tc>
          <w:tcPr>
            <w:tcW w:w="4708" w:type="dxa"/>
            <w:shd w:val="clear" w:color="auto" w:fill="auto"/>
            <w:vAlign w:val="center"/>
          </w:tcPr>
          <w:p>
            <w:pPr>
              <w:widowControl/>
              <w:snapToGrid w:val="0"/>
              <w:spacing w:line="30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满分5分。</w:t>
            </w:r>
          </w:p>
          <w:p>
            <w:pPr>
              <w:widowControl/>
              <w:snapToGrid w:val="0"/>
              <w:spacing w:line="30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开放率计算方法：</w:t>
            </w:r>
          </w:p>
          <w:p>
            <w:pPr>
              <w:widowControl/>
              <w:snapToGrid w:val="0"/>
              <w:spacing w:line="30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体育场馆核心区健身场地免费或低收费开放率为核心区免费、低收费健身场地面积之和与核心区健身场地总面积的比例。</w:t>
            </w:r>
          </w:p>
        </w:tc>
        <w:tc>
          <w:tcPr>
            <w:tcW w:w="2875" w:type="dxa"/>
            <w:vAlign w:val="center"/>
          </w:tcPr>
          <w:p>
            <w:pPr>
              <w:widowControl/>
              <w:snapToGrid w:val="0"/>
              <w:spacing w:line="30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填写体育场馆核心区健身场地面积及四至坐标。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508" w:type="dxa"/>
            <w:gridSpan w:val="5"/>
            <w:shd w:val="clear" w:color="auto" w:fill="auto"/>
            <w:vAlign w:val="center"/>
          </w:tcPr>
          <w:p>
            <w:pPr>
              <w:widowControl/>
              <w:snapToGrid w:val="0"/>
              <w:spacing w:line="300" w:lineRule="exact"/>
              <w:jc w:val="left"/>
              <w:textAlignment w:val="baseline"/>
              <w:rPr>
                <w:rFonts w:ascii="方正黑体_GBK" w:hAnsi="Times New Roman" w:eastAsia="方正黑体_GBK"/>
                <w:bCs/>
                <w:kern w:val="0"/>
                <w:sz w:val="21"/>
                <w:szCs w:val="21"/>
              </w:rPr>
            </w:pPr>
            <w:r>
              <w:rPr>
                <w:rFonts w:hint="eastAsia" w:ascii="方正黑体_GBK" w:hAnsi="Times New Roman" w:eastAsia="方正黑体_GBK"/>
                <w:bCs/>
                <w:kern w:val="0"/>
                <w:sz w:val="21"/>
                <w:szCs w:val="21"/>
              </w:rPr>
              <w:t>二、接待总人次（15分）</w:t>
            </w:r>
          </w:p>
        </w:tc>
        <w:tc>
          <w:tcPr>
            <w:tcW w:w="2875" w:type="dxa"/>
          </w:tcPr>
          <w:p>
            <w:pPr>
              <w:widowControl/>
              <w:snapToGrid w:val="0"/>
              <w:spacing w:line="300" w:lineRule="exact"/>
              <w:jc w:val="left"/>
              <w:textAlignment w:val="baseline"/>
              <w:rPr>
                <w:rFonts w:ascii="方正黑体_GBK" w:hAnsi="Times New Roman" w:eastAsia="方正黑体_GBK"/>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3170" w:type="dxa"/>
            <w:gridSpan w:val="2"/>
            <w:shd w:val="clear" w:color="auto" w:fill="auto"/>
            <w:vAlign w:val="center"/>
          </w:tcPr>
          <w:p>
            <w:pPr>
              <w:widowControl/>
              <w:snapToGrid w:val="0"/>
              <w:spacing w:line="300" w:lineRule="exact"/>
              <w:jc w:val="left"/>
              <w:textAlignment w:val="baseline"/>
              <w:rPr>
                <w:rFonts w:ascii="方正仿宋_GBK" w:hAnsi="Times New Roman" w:eastAsia="方正仿宋_GBK"/>
                <w:b/>
                <w:bCs/>
                <w:kern w:val="0"/>
                <w:sz w:val="21"/>
                <w:szCs w:val="21"/>
              </w:rPr>
            </w:pPr>
            <w:r>
              <w:rPr>
                <w:rFonts w:hint="eastAsia" w:ascii="方正仿宋_GBK" w:hAnsi="Times New Roman" w:eastAsia="方正仿宋_GBK"/>
                <w:kern w:val="0"/>
                <w:sz w:val="21"/>
                <w:szCs w:val="21"/>
              </w:rPr>
              <w:t>在规定的连续12个月内，体育场馆核心区接待免费或低收费健身、参与或观看体育赛事活动、参加体育培训、参加中小学学校体育教学的人次</w:t>
            </w:r>
          </w:p>
        </w:tc>
        <w:tc>
          <w:tcPr>
            <w:tcW w:w="418" w:type="dxa"/>
            <w:shd w:val="clear" w:color="auto" w:fill="auto"/>
            <w:vAlign w:val="center"/>
          </w:tcPr>
          <w:p>
            <w:pPr>
              <w:widowControl/>
              <w:snapToGrid w:val="0"/>
              <w:spacing w:line="300" w:lineRule="exact"/>
              <w:jc w:val="center"/>
              <w:textAlignment w:val="baseline"/>
              <w:rPr>
                <w:rFonts w:ascii="方正仿宋_GBK" w:hAnsi="Times New Roman" w:eastAsia="方正仿宋_GBK"/>
                <w:b/>
                <w:bCs/>
                <w:kern w:val="0"/>
                <w:sz w:val="21"/>
                <w:szCs w:val="21"/>
              </w:rPr>
            </w:pPr>
            <w:r>
              <w:rPr>
                <w:rFonts w:hint="eastAsia" w:ascii="方正仿宋_GBK" w:hAnsi="Times New Roman" w:eastAsia="方正仿宋_GBK"/>
                <w:kern w:val="0"/>
                <w:sz w:val="21"/>
                <w:szCs w:val="21"/>
              </w:rPr>
              <w:t>15</w:t>
            </w:r>
          </w:p>
        </w:tc>
        <w:tc>
          <w:tcPr>
            <w:tcW w:w="3212" w:type="dxa"/>
            <w:shd w:val="clear" w:color="auto" w:fill="auto"/>
            <w:vAlign w:val="center"/>
          </w:tcPr>
          <w:p>
            <w:pPr>
              <w:widowControl/>
              <w:snapToGrid w:val="0"/>
              <w:spacing w:line="300" w:lineRule="exact"/>
              <w:jc w:val="lef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体育场每增加12000人次计1分；</w:t>
            </w:r>
          </w:p>
          <w:p>
            <w:pPr>
              <w:widowControl/>
              <w:snapToGrid w:val="0"/>
              <w:spacing w:line="300" w:lineRule="exact"/>
              <w:jc w:val="lef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游泳馆每增加2300人次计1分；</w:t>
            </w:r>
          </w:p>
          <w:p>
            <w:pPr>
              <w:widowControl/>
              <w:snapToGrid w:val="0"/>
              <w:spacing w:line="300" w:lineRule="exact"/>
              <w:jc w:val="lef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滑冰馆每增加2100人次计1分；</w:t>
            </w:r>
          </w:p>
          <w:p>
            <w:pPr>
              <w:widowControl/>
              <w:snapToGrid w:val="0"/>
              <w:spacing w:line="300" w:lineRule="exact"/>
              <w:jc w:val="lef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其他室内运动项目每增加3400人次计1分。</w:t>
            </w:r>
          </w:p>
        </w:tc>
        <w:tc>
          <w:tcPr>
            <w:tcW w:w="4708" w:type="dxa"/>
            <w:shd w:val="clear" w:color="auto" w:fill="auto"/>
            <w:vAlign w:val="center"/>
          </w:tcPr>
          <w:p>
            <w:pPr>
              <w:widowControl/>
              <w:snapToGrid w:val="0"/>
              <w:spacing w:line="300" w:lineRule="exact"/>
              <w:jc w:val="lef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满分15分。</w:t>
            </w:r>
          </w:p>
        </w:tc>
        <w:tc>
          <w:tcPr>
            <w:tcW w:w="2875" w:type="dxa"/>
            <w:vAlign w:val="center"/>
          </w:tcPr>
          <w:p>
            <w:pPr>
              <w:widowControl/>
              <w:snapToGrid w:val="0"/>
              <w:spacing w:line="30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提供接待总人次的佐证材料。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508" w:type="dxa"/>
            <w:gridSpan w:val="5"/>
            <w:shd w:val="clear" w:color="auto" w:fill="auto"/>
            <w:vAlign w:val="center"/>
          </w:tcPr>
          <w:p>
            <w:pPr>
              <w:widowControl/>
              <w:snapToGrid w:val="0"/>
              <w:spacing w:line="300" w:lineRule="exact"/>
              <w:textAlignment w:val="baseline"/>
              <w:rPr>
                <w:rFonts w:ascii="方正黑体_GBK" w:hAnsi="Times New Roman" w:eastAsia="方正黑体_GBK"/>
                <w:bCs/>
                <w:kern w:val="0"/>
                <w:sz w:val="21"/>
                <w:szCs w:val="21"/>
              </w:rPr>
            </w:pPr>
            <w:r>
              <w:rPr>
                <w:rFonts w:hint="eastAsia" w:ascii="方正黑体_GBK" w:hAnsi="Times New Roman" w:eastAsia="方正黑体_GBK"/>
                <w:bCs/>
                <w:kern w:val="0"/>
                <w:sz w:val="21"/>
                <w:szCs w:val="21"/>
              </w:rPr>
              <w:t>三、体育赛事活动（40分）</w:t>
            </w:r>
          </w:p>
        </w:tc>
        <w:tc>
          <w:tcPr>
            <w:tcW w:w="2875" w:type="dxa"/>
          </w:tcPr>
          <w:p>
            <w:pPr>
              <w:widowControl/>
              <w:snapToGrid w:val="0"/>
              <w:spacing w:line="300" w:lineRule="exact"/>
              <w:textAlignment w:val="baseline"/>
              <w:rPr>
                <w:rFonts w:ascii="方正黑体_GBK" w:hAnsi="Times New Roman" w:eastAsia="方正黑体_GBK"/>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3170" w:type="dxa"/>
            <w:gridSpan w:val="2"/>
            <w:shd w:val="clear" w:color="auto" w:fill="auto"/>
            <w:vAlign w:val="center"/>
          </w:tcPr>
          <w:p>
            <w:pPr>
              <w:widowControl/>
              <w:snapToGrid w:val="0"/>
              <w:spacing w:line="260" w:lineRule="exact"/>
              <w:jc w:val="lef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3.1举办国际级、国家级体育赛事活动</w:t>
            </w:r>
          </w:p>
        </w:tc>
        <w:tc>
          <w:tcPr>
            <w:tcW w:w="418" w:type="dxa"/>
            <w:shd w:val="clear" w:color="auto" w:fill="auto"/>
            <w:vAlign w:val="center"/>
          </w:tcPr>
          <w:p>
            <w:pPr>
              <w:snapToGrid w:val="0"/>
              <w:spacing w:line="260" w:lineRule="exact"/>
              <w:jc w:val="center"/>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10</w:t>
            </w:r>
          </w:p>
        </w:tc>
        <w:tc>
          <w:tcPr>
            <w:tcW w:w="3212" w:type="dxa"/>
            <w:shd w:val="clear" w:color="auto" w:fill="auto"/>
            <w:vAlign w:val="center"/>
          </w:tcPr>
          <w:p>
            <w:pPr>
              <w:widowControl/>
              <w:snapToGrid w:val="0"/>
              <w:spacing w:line="26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每举办1次，计1分；</w:t>
            </w:r>
          </w:p>
          <w:p>
            <w:pPr>
              <w:widowControl/>
              <w:snapToGrid w:val="0"/>
              <w:spacing w:line="26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举办同一综合体育赛事名录下的2项及以上竞赛项目计为举办2次，计2分。</w:t>
            </w:r>
          </w:p>
        </w:tc>
        <w:tc>
          <w:tcPr>
            <w:tcW w:w="4708" w:type="dxa"/>
            <w:shd w:val="clear" w:color="auto" w:fill="auto"/>
            <w:vAlign w:val="center"/>
          </w:tcPr>
          <w:p>
            <w:pPr>
              <w:widowControl/>
              <w:snapToGrid w:val="0"/>
              <w:spacing w:line="26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满分10分。</w:t>
            </w:r>
          </w:p>
        </w:tc>
        <w:tc>
          <w:tcPr>
            <w:tcW w:w="2875" w:type="dxa"/>
            <w:vMerge w:val="restart"/>
            <w:vAlign w:val="center"/>
          </w:tcPr>
          <w:p>
            <w:pPr>
              <w:widowControl/>
              <w:snapToGrid w:val="0"/>
              <w:spacing w:line="26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1. 赛事提供正式通知、秩序册、图片、县级以上（含县级）媒体的宣传报道资料（标注媒体名称和时间）等。</w:t>
            </w:r>
          </w:p>
          <w:p>
            <w:pPr>
              <w:widowControl/>
              <w:snapToGrid w:val="0"/>
              <w:spacing w:line="26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2. 活动提供每次活动的正式通知（有主承办单位和印章）、图片、县级以上（含县级）媒体宣传报道资料（标注媒体名称和时间）等。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3170" w:type="dxa"/>
            <w:gridSpan w:val="2"/>
            <w:shd w:val="clear" w:color="auto" w:fill="auto"/>
            <w:vAlign w:val="center"/>
          </w:tcPr>
          <w:p>
            <w:pPr>
              <w:widowControl/>
              <w:snapToGrid w:val="0"/>
              <w:spacing w:line="260" w:lineRule="exact"/>
              <w:jc w:val="lef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3.2举办省级体育赛事活动</w:t>
            </w:r>
          </w:p>
        </w:tc>
        <w:tc>
          <w:tcPr>
            <w:tcW w:w="418" w:type="dxa"/>
            <w:shd w:val="clear" w:color="auto" w:fill="auto"/>
            <w:vAlign w:val="center"/>
          </w:tcPr>
          <w:p>
            <w:pPr>
              <w:snapToGrid w:val="0"/>
              <w:spacing w:line="260" w:lineRule="exact"/>
              <w:jc w:val="center"/>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10</w:t>
            </w:r>
          </w:p>
        </w:tc>
        <w:tc>
          <w:tcPr>
            <w:tcW w:w="3212" w:type="dxa"/>
            <w:shd w:val="clear" w:color="auto" w:fill="auto"/>
            <w:vAlign w:val="center"/>
          </w:tcPr>
          <w:p>
            <w:pPr>
              <w:widowControl/>
              <w:snapToGrid w:val="0"/>
              <w:spacing w:line="26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每举办1次，计1分；</w:t>
            </w:r>
          </w:p>
          <w:p>
            <w:pPr>
              <w:widowControl/>
              <w:snapToGrid w:val="0"/>
              <w:spacing w:line="26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举办同一综合体育赛事名录下的2项及以上竞赛项目计为举办2次，计2分。</w:t>
            </w:r>
          </w:p>
        </w:tc>
        <w:tc>
          <w:tcPr>
            <w:tcW w:w="4708" w:type="dxa"/>
            <w:shd w:val="clear" w:color="auto" w:fill="auto"/>
            <w:vAlign w:val="center"/>
          </w:tcPr>
          <w:p>
            <w:pPr>
              <w:widowControl/>
              <w:snapToGrid w:val="0"/>
              <w:spacing w:line="26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满分10分。</w:t>
            </w:r>
          </w:p>
        </w:tc>
        <w:tc>
          <w:tcPr>
            <w:tcW w:w="2875" w:type="dxa"/>
            <w:vMerge w:val="continue"/>
            <w:vAlign w:val="center"/>
          </w:tcPr>
          <w:p>
            <w:pPr>
              <w:widowControl/>
              <w:snapToGrid w:val="0"/>
              <w:spacing w:line="260" w:lineRule="exact"/>
              <w:textAlignment w:val="baseline"/>
              <w:rPr>
                <w:rFonts w:ascii="方正仿宋_GBK" w:hAnsi="Times New Roman" w:eastAsia="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13" w:type="dxa"/>
            <w:vMerge w:val="restart"/>
            <w:shd w:val="clear" w:color="auto" w:fill="auto"/>
            <w:vAlign w:val="center"/>
          </w:tcPr>
          <w:p>
            <w:pPr>
              <w:widowControl/>
              <w:snapToGrid w:val="0"/>
              <w:spacing w:line="280" w:lineRule="exact"/>
              <w:jc w:val="lef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3.3举办省级以下体育赛事活动</w:t>
            </w:r>
          </w:p>
        </w:tc>
        <w:tc>
          <w:tcPr>
            <w:tcW w:w="1857" w:type="dxa"/>
            <w:shd w:val="clear" w:color="auto" w:fill="auto"/>
            <w:vAlign w:val="center"/>
          </w:tcPr>
          <w:p>
            <w:pPr>
              <w:widowControl/>
              <w:snapToGrid w:val="0"/>
              <w:spacing w:line="280" w:lineRule="exact"/>
              <w:jc w:val="lef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3.3.1在体育场馆核心区举办的低收费体育赛事活动</w:t>
            </w:r>
          </w:p>
        </w:tc>
        <w:tc>
          <w:tcPr>
            <w:tcW w:w="418" w:type="dxa"/>
            <w:shd w:val="clear" w:color="auto" w:fill="auto"/>
            <w:vAlign w:val="center"/>
          </w:tcPr>
          <w:p>
            <w:pPr>
              <w:snapToGrid w:val="0"/>
              <w:spacing w:line="280" w:lineRule="exact"/>
              <w:jc w:val="center"/>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10</w:t>
            </w:r>
          </w:p>
        </w:tc>
        <w:tc>
          <w:tcPr>
            <w:tcW w:w="3212" w:type="dxa"/>
            <w:shd w:val="clear" w:color="auto" w:fill="auto"/>
            <w:vAlign w:val="center"/>
          </w:tcPr>
          <w:p>
            <w:pPr>
              <w:widowControl/>
              <w:snapToGrid w:val="0"/>
              <w:spacing w:line="28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在规定的连续12个月内，在体育场馆核心区举办省级以下低收费体育赛事活动参与人次每超过1500人次计1分，不足1500人次计0.5分。</w:t>
            </w:r>
          </w:p>
        </w:tc>
        <w:tc>
          <w:tcPr>
            <w:tcW w:w="4708" w:type="dxa"/>
            <w:shd w:val="clear" w:color="auto" w:fill="auto"/>
            <w:vAlign w:val="center"/>
          </w:tcPr>
          <w:p>
            <w:pPr>
              <w:widowControl/>
              <w:snapToGrid w:val="0"/>
              <w:spacing w:line="28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满分10分。</w:t>
            </w:r>
          </w:p>
          <w:p>
            <w:pPr>
              <w:widowControl/>
              <w:snapToGrid w:val="0"/>
              <w:spacing w:line="28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在体育场馆核心区举办4次及以上免费或低收费体育赛事活动时，可按照本项计分规则进行计分。若免费或低收费体育赛事活动未达到4场次，则本项不计分。</w:t>
            </w:r>
          </w:p>
        </w:tc>
        <w:tc>
          <w:tcPr>
            <w:tcW w:w="2875" w:type="dxa"/>
            <w:vMerge w:val="restart"/>
            <w:vAlign w:val="center"/>
          </w:tcPr>
          <w:p>
            <w:pPr>
              <w:widowControl/>
              <w:snapToGrid w:val="0"/>
              <w:spacing w:line="28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1.赛事提供正式通知、秩序册或竞赛规程、图片、媒体的宣传报道资料（标注媒体名称和时间）等。</w:t>
            </w:r>
          </w:p>
          <w:p>
            <w:pPr>
              <w:widowControl/>
              <w:snapToGrid w:val="0"/>
              <w:spacing w:line="28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2.活动提供每次活动的正式通知（有主承办单位和印章）、图片、媒体宣传报道资料（标注媒体名称和时间）等。</w:t>
            </w:r>
          </w:p>
          <w:p>
            <w:pPr>
              <w:widowControl/>
              <w:snapToGrid w:val="0"/>
              <w:spacing w:line="28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3.提供赛事和活动参与人次的证明材料。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13" w:type="dxa"/>
            <w:vMerge w:val="continue"/>
            <w:shd w:val="clear" w:color="auto" w:fill="auto"/>
            <w:vAlign w:val="center"/>
          </w:tcPr>
          <w:p>
            <w:pPr>
              <w:widowControl/>
              <w:snapToGrid w:val="0"/>
              <w:spacing w:line="280" w:lineRule="exact"/>
              <w:jc w:val="left"/>
              <w:textAlignment w:val="baseline"/>
              <w:rPr>
                <w:rFonts w:ascii="方正仿宋_GBK" w:hAnsi="Times New Roman" w:eastAsia="方正仿宋_GBK"/>
                <w:kern w:val="0"/>
                <w:sz w:val="21"/>
                <w:szCs w:val="21"/>
              </w:rPr>
            </w:pPr>
          </w:p>
        </w:tc>
        <w:tc>
          <w:tcPr>
            <w:tcW w:w="1857" w:type="dxa"/>
            <w:shd w:val="clear" w:color="auto" w:fill="auto"/>
            <w:vAlign w:val="center"/>
          </w:tcPr>
          <w:p>
            <w:pPr>
              <w:widowControl/>
              <w:snapToGrid w:val="0"/>
              <w:spacing w:line="280" w:lineRule="exact"/>
              <w:jc w:val="lef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3.3.2在体育场馆核心区举办的免费体育赛事活动</w:t>
            </w:r>
          </w:p>
        </w:tc>
        <w:tc>
          <w:tcPr>
            <w:tcW w:w="418" w:type="dxa"/>
            <w:shd w:val="clear" w:color="auto" w:fill="auto"/>
            <w:vAlign w:val="center"/>
          </w:tcPr>
          <w:p>
            <w:pPr>
              <w:snapToGrid w:val="0"/>
              <w:spacing w:line="280" w:lineRule="exact"/>
              <w:jc w:val="center"/>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10</w:t>
            </w:r>
          </w:p>
        </w:tc>
        <w:tc>
          <w:tcPr>
            <w:tcW w:w="3212" w:type="dxa"/>
            <w:shd w:val="clear" w:color="auto" w:fill="auto"/>
            <w:vAlign w:val="center"/>
          </w:tcPr>
          <w:p>
            <w:pPr>
              <w:widowControl/>
              <w:snapToGrid w:val="0"/>
              <w:spacing w:line="28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在规定的连续12个月内，在体育场馆核心区举办省级以下免费体育赛事活动参与人次每超过750人次计1分，不足750人次计0.5分。</w:t>
            </w:r>
          </w:p>
        </w:tc>
        <w:tc>
          <w:tcPr>
            <w:tcW w:w="4708" w:type="dxa"/>
            <w:shd w:val="clear" w:color="auto" w:fill="auto"/>
            <w:vAlign w:val="center"/>
          </w:tcPr>
          <w:p>
            <w:pPr>
              <w:widowControl/>
              <w:snapToGrid w:val="0"/>
              <w:spacing w:line="28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满分10分。</w:t>
            </w:r>
          </w:p>
          <w:p>
            <w:pPr>
              <w:widowControl/>
              <w:snapToGrid w:val="0"/>
              <w:spacing w:line="28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在体育场馆核心区举办4场次及以上免费或低收费体育赛事活动时，可按照本项计分规则进行计分。若免费或低收费体育赛事活动未达到4场次，则本项不计分。</w:t>
            </w:r>
          </w:p>
        </w:tc>
        <w:tc>
          <w:tcPr>
            <w:tcW w:w="2875" w:type="dxa"/>
            <w:vMerge w:val="continue"/>
          </w:tcPr>
          <w:p>
            <w:pPr>
              <w:widowControl/>
              <w:snapToGrid w:val="0"/>
              <w:spacing w:line="280" w:lineRule="exact"/>
              <w:textAlignment w:val="baseline"/>
              <w:rPr>
                <w:rFonts w:ascii="方正仿宋_GBK" w:hAnsi="Times New Roman" w:eastAsia="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508" w:type="dxa"/>
            <w:gridSpan w:val="5"/>
            <w:shd w:val="clear" w:color="auto" w:fill="auto"/>
            <w:vAlign w:val="center"/>
          </w:tcPr>
          <w:p>
            <w:pPr>
              <w:widowControl/>
              <w:snapToGrid w:val="0"/>
              <w:spacing w:line="280" w:lineRule="exact"/>
              <w:jc w:val="left"/>
              <w:textAlignment w:val="baseline"/>
              <w:rPr>
                <w:rFonts w:ascii="方正黑体_GBK" w:hAnsi="Times New Roman" w:eastAsia="方正黑体_GBK"/>
                <w:bCs/>
                <w:kern w:val="0"/>
                <w:sz w:val="21"/>
                <w:szCs w:val="21"/>
              </w:rPr>
            </w:pPr>
            <w:r>
              <w:rPr>
                <w:rFonts w:hint="eastAsia" w:ascii="方正黑体_GBK" w:hAnsi="Times New Roman" w:eastAsia="方正黑体_GBK"/>
                <w:bCs/>
                <w:kern w:val="0"/>
                <w:sz w:val="21"/>
                <w:szCs w:val="21"/>
              </w:rPr>
              <w:t>四、体育培训（10分）</w:t>
            </w:r>
          </w:p>
        </w:tc>
        <w:tc>
          <w:tcPr>
            <w:tcW w:w="2875" w:type="dxa"/>
          </w:tcPr>
          <w:p>
            <w:pPr>
              <w:widowControl/>
              <w:snapToGrid w:val="0"/>
              <w:spacing w:line="280" w:lineRule="exact"/>
              <w:jc w:val="left"/>
              <w:textAlignment w:val="baseline"/>
              <w:rPr>
                <w:rFonts w:ascii="方正黑体_GBK" w:hAnsi="Times New Roman" w:eastAsia="方正黑体_GBK"/>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3170" w:type="dxa"/>
            <w:gridSpan w:val="2"/>
            <w:vAlign w:val="center"/>
          </w:tcPr>
          <w:p>
            <w:pPr>
              <w:widowControl/>
              <w:snapToGrid w:val="0"/>
              <w:spacing w:line="280" w:lineRule="exact"/>
              <w:jc w:val="lef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4.1体育场馆核心区接待运动技能、科学健身等低收费体育培训的人次</w:t>
            </w:r>
          </w:p>
        </w:tc>
        <w:tc>
          <w:tcPr>
            <w:tcW w:w="418" w:type="dxa"/>
            <w:vAlign w:val="center"/>
          </w:tcPr>
          <w:p>
            <w:pPr>
              <w:widowControl/>
              <w:snapToGrid w:val="0"/>
              <w:spacing w:line="280" w:lineRule="exact"/>
              <w:jc w:val="center"/>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5</w:t>
            </w:r>
          </w:p>
        </w:tc>
        <w:tc>
          <w:tcPr>
            <w:tcW w:w="3212" w:type="dxa"/>
            <w:shd w:val="clear" w:color="auto" w:fill="auto"/>
            <w:vAlign w:val="center"/>
          </w:tcPr>
          <w:p>
            <w:pPr>
              <w:widowControl/>
              <w:snapToGrid w:val="0"/>
              <w:spacing w:line="28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体育场每增加1800人次计1分；</w:t>
            </w:r>
          </w:p>
          <w:p>
            <w:pPr>
              <w:widowControl/>
              <w:snapToGrid w:val="0"/>
              <w:spacing w:line="28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游泳馆每增加360人次计1分；</w:t>
            </w:r>
          </w:p>
          <w:p>
            <w:pPr>
              <w:widowControl/>
              <w:snapToGrid w:val="0"/>
              <w:spacing w:line="28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滑冰馆每增加800人次计1分；</w:t>
            </w:r>
          </w:p>
          <w:p>
            <w:pPr>
              <w:widowControl/>
              <w:snapToGrid w:val="0"/>
              <w:spacing w:line="28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其他室内运动项目每增加1000人次计1分。</w:t>
            </w:r>
          </w:p>
        </w:tc>
        <w:tc>
          <w:tcPr>
            <w:tcW w:w="4708" w:type="dxa"/>
            <w:shd w:val="clear" w:color="auto" w:fill="auto"/>
            <w:vAlign w:val="center"/>
          </w:tcPr>
          <w:p>
            <w:pPr>
              <w:widowControl/>
              <w:snapToGrid w:val="0"/>
              <w:spacing w:line="28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满分5分。</w:t>
            </w:r>
          </w:p>
          <w:p>
            <w:pPr>
              <w:widowControl/>
              <w:snapToGrid w:val="0"/>
              <w:spacing w:line="28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在规定的连续12个月内，在体育场馆核心区开展运动技能、科学健身等免费低收费体育培训达到1000人次及以上时，可按照本项计分规则进行计分。若未达到1000人次，则本项不计分。</w:t>
            </w:r>
          </w:p>
        </w:tc>
        <w:tc>
          <w:tcPr>
            <w:tcW w:w="2875" w:type="dxa"/>
            <w:vAlign w:val="center"/>
          </w:tcPr>
          <w:p>
            <w:pPr>
              <w:widowControl/>
              <w:snapToGrid w:val="0"/>
              <w:spacing w:line="28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提供培训通知、培训手册（含培训人员名单）、图片、宣传报道、接待低收费培训人次的证明材料。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3170" w:type="dxa"/>
            <w:gridSpan w:val="2"/>
            <w:vAlign w:val="center"/>
          </w:tcPr>
          <w:p>
            <w:pPr>
              <w:widowControl/>
              <w:snapToGrid w:val="0"/>
              <w:spacing w:line="280" w:lineRule="exact"/>
              <w:jc w:val="lef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4.2体育场馆核心区接待运动技能、科学健身等免费体育培训的人次</w:t>
            </w:r>
          </w:p>
        </w:tc>
        <w:tc>
          <w:tcPr>
            <w:tcW w:w="418" w:type="dxa"/>
            <w:vAlign w:val="center"/>
          </w:tcPr>
          <w:p>
            <w:pPr>
              <w:widowControl/>
              <w:snapToGrid w:val="0"/>
              <w:spacing w:line="280" w:lineRule="exact"/>
              <w:jc w:val="center"/>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5</w:t>
            </w:r>
          </w:p>
        </w:tc>
        <w:tc>
          <w:tcPr>
            <w:tcW w:w="3212" w:type="dxa"/>
            <w:shd w:val="clear" w:color="auto" w:fill="auto"/>
            <w:vAlign w:val="center"/>
          </w:tcPr>
          <w:p>
            <w:pPr>
              <w:widowControl/>
              <w:snapToGrid w:val="0"/>
              <w:spacing w:line="28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体育场每增加600人次计1分；</w:t>
            </w:r>
          </w:p>
          <w:p>
            <w:pPr>
              <w:widowControl/>
              <w:snapToGrid w:val="0"/>
              <w:spacing w:line="28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游泳馆每增加120人次计1分；</w:t>
            </w:r>
          </w:p>
          <w:p>
            <w:pPr>
              <w:widowControl/>
              <w:snapToGrid w:val="0"/>
              <w:spacing w:line="28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滑冰馆每增加300人次计1分；</w:t>
            </w:r>
          </w:p>
          <w:p>
            <w:pPr>
              <w:widowControl/>
              <w:snapToGrid w:val="0"/>
              <w:spacing w:line="28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其他室内运动项目每增加500人次计1分。</w:t>
            </w:r>
          </w:p>
        </w:tc>
        <w:tc>
          <w:tcPr>
            <w:tcW w:w="4708" w:type="dxa"/>
            <w:shd w:val="clear" w:color="auto" w:fill="auto"/>
            <w:vAlign w:val="center"/>
          </w:tcPr>
          <w:p>
            <w:pPr>
              <w:widowControl/>
              <w:snapToGrid w:val="0"/>
              <w:spacing w:line="28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满分5分。</w:t>
            </w:r>
          </w:p>
          <w:p>
            <w:pPr>
              <w:widowControl/>
              <w:snapToGrid w:val="0"/>
              <w:spacing w:line="28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在规定的连续12个月内，在体育场馆核心区开展运动技能、科学健身等免费低收费体育培训达到1000人次及以上时，可按照本项计分规则进行计分。若未达到1000人次，则本项不计分。</w:t>
            </w:r>
          </w:p>
        </w:tc>
        <w:tc>
          <w:tcPr>
            <w:tcW w:w="2875" w:type="dxa"/>
            <w:vAlign w:val="center"/>
          </w:tcPr>
          <w:p>
            <w:pPr>
              <w:widowControl/>
              <w:snapToGrid w:val="0"/>
              <w:spacing w:line="28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提供培训通知、培训手册（含培训人员名单）、图片、宣传报道、接待免费培训人次的证明材料。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508" w:type="dxa"/>
            <w:gridSpan w:val="5"/>
            <w:vAlign w:val="center"/>
          </w:tcPr>
          <w:p>
            <w:pPr>
              <w:widowControl/>
              <w:snapToGrid w:val="0"/>
              <w:spacing w:line="300" w:lineRule="exact"/>
              <w:textAlignment w:val="baseline"/>
              <w:rPr>
                <w:rFonts w:ascii="方正黑体_GBK" w:hAnsi="Times New Roman" w:eastAsia="方正黑体_GBK"/>
                <w:kern w:val="0"/>
                <w:sz w:val="21"/>
                <w:szCs w:val="21"/>
              </w:rPr>
            </w:pPr>
            <w:r>
              <w:rPr>
                <w:rFonts w:hint="eastAsia" w:ascii="方正黑体_GBK" w:hAnsi="Times New Roman" w:eastAsia="方正黑体_GBK"/>
                <w:bCs/>
                <w:kern w:val="0"/>
                <w:sz w:val="21"/>
                <w:szCs w:val="21"/>
              </w:rPr>
              <w:t>五、学校体育（10分）</w:t>
            </w:r>
          </w:p>
        </w:tc>
        <w:tc>
          <w:tcPr>
            <w:tcW w:w="2875" w:type="dxa"/>
            <w:vAlign w:val="center"/>
          </w:tcPr>
          <w:p>
            <w:pPr>
              <w:widowControl/>
              <w:snapToGrid w:val="0"/>
              <w:spacing w:line="300" w:lineRule="exact"/>
              <w:textAlignment w:val="baseline"/>
              <w:rPr>
                <w:rFonts w:ascii="方正黑体_GBK" w:hAnsi="Times New Roman" w:eastAsia="方正黑体_GBK"/>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3170" w:type="dxa"/>
            <w:gridSpan w:val="2"/>
            <w:vAlign w:val="center"/>
          </w:tcPr>
          <w:p>
            <w:pPr>
              <w:widowControl/>
              <w:snapToGrid w:val="0"/>
              <w:spacing w:line="260" w:lineRule="exact"/>
              <w:jc w:val="lef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5.1在规定的连续12个月内，低收费使用体育场馆核心区场地、设施用于学校体育教学的签约中小学教学点数量</w:t>
            </w:r>
          </w:p>
        </w:tc>
        <w:tc>
          <w:tcPr>
            <w:tcW w:w="418" w:type="dxa"/>
            <w:vAlign w:val="center"/>
          </w:tcPr>
          <w:p>
            <w:pPr>
              <w:widowControl/>
              <w:snapToGrid w:val="0"/>
              <w:spacing w:line="260" w:lineRule="exact"/>
              <w:jc w:val="center"/>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5</w:t>
            </w:r>
          </w:p>
        </w:tc>
        <w:tc>
          <w:tcPr>
            <w:tcW w:w="3212" w:type="dxa"/>
            <w:shd w:val="clear" w:color="auto" w:fill="auto"/>
            <w:vAlign w:val="center"/>
          </w:tcPr>
          <w:p>
            <w:pPr>
              <w:widowControl/>
              <w:snapToGrid w:val="0"/>
              <w:spacing w:line="26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1-2个教学点，得1分；</w:t>
            </w:r>
          </w:p>
          <w:p>
            <w:pPr>
              <w:widowControl/>
              <w:snapToGrid w:val="0"/>
              <w:spacing w:line="26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3-4个教学点，得2分；</w:t>
            </w:r>
          </w:p>
          <w:p>
            <w:pPr>
              <w:widowControl/>
              <w:snapToGrid w:val="0"/>
              <w:spacing w:line="26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5-6个教学点，得3分；</w:t>
            </w:r>
          </w:p>
          <w:p>
            <w:pPr>
              <w:widowControl/>
              <w:snapToGrid w:val="0"/>
              <w:spacing w:line="26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7-8个教学点，得4分；</w:t>
            </w:r>
          </w:p>
          <w:p>
            <w:pPr>
              <w:widowControl/>
              <w:snapToGrid w:val="0"/>
              <w:spacing w:line="26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9个教学点及以上，得5分。</w:t>
            </w:r>
          </w:p>
        </w:tc>
        <w:tc>
          <w:tcPr>
            <w:tcW w:w="4708" w:type="dxa"/>
            <w:shd w:val="clear" w:color="auto" w:fill="auto"/>
            <w:vAlign w:val="center"/>
          </w:tcPr>
          <w:p>
            <w:pPr>
              <w:widowControl/>
              <w:snapToGrid w:val="0"/>
              <w:spacing w:line="26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满分5分。</w:t>
            </w:r>
          </w:p>
        </w:tc>
        <w:tc>
          <w:tcPr>
            <w:tcW w:w="2875" w:type="dxa"/>
            <w:vMerge w:val="restart"/>
            <w:vAlign w:val="center"/>
          </w:tcPr>
          <w:p>
            <w:pPr>
              <w:widowControl/>
              <w:snapToGrid w:val="0"/>
              <w:spacing w:line="26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提供规定</w:t>
            </w:r>
            <w:r>
              <w:rPr>
                <w:rFonts w:hint="eastAsia" w:ascii="方正仿宋_GBK" w:hAnsi="仿宋" w:eastAsia="方正仿宋_GBK" w:cs="仿宋"/>
                <w:kern w:val="0"/>
                <w:sz w:val="21"/>
                <w:szCs w:val="21"/>
              </w:rPr>
              <w:t>填报期限内学校体育服务的</w:t>
            </w:r>
            <w:r>
              <w:rPr>
                <w:rFonts w:hint="eastAsia" w:ascii="方正仿宋_GBK" w:hAnsi="Times New Roman" w:eastAsia="方正仿宋_GBK"/>
                <w:kern w:val="0"/>
                <w:sz w:val="21"/>
                <w:szCs w:val="21"/>
              </w:rPr>
              <w:t>协议，协议中应有明确服务的场地名称、服务时段、收费标准</w:t>
            </w:r>
            <w:r>
              <w:rPr>
                <w:rFonts w:hint="eastAsia" w:ascii="方正仿宋_GBK" w:hAnsi="仿宋" w:eastAsia="方正仿宋_GBK" w:cs="仿宋"/>
                <w:kern w:val="0"/>
                <w:sz w:val="21"/>
                <w:szCs w:val="21"/>
              </w:rPr>
              <w:t>（免费或低收费）</w:t>
            </w:r>
            <w:r>
              <w:rPr>
                <w:rFonts w:hint="eastAsia" w:ascii="方正仿宋_GBK" w:hAnsi="Times New Roman" w:eastAsia="方正仿宋_GBK"/>
                <w:kern w:val="0"/>
                <w:sz w:val="21"/>
                <w:szCs w:val="21"/>
              </w:rPr>
              <w:t>、体育健身指导、意外伤害险等内容。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3170" w:type="dxa"/>
            <w:gridSpan w:val="2"/>
            <w:vAlign w:val="center"/>
          </w:tcPr>
          <w:p>
            <w:pPr>
              <w:widowControl/>
              <w:snapToGrid w:val="0"/>
              <w:spacing w:line="260" w:lineRule="exact"/>
              <w:jc w:val="lef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5.2在规定的连续12个月内，免费使用体育场馆核心区场地、设施用于学校体育教学的签约中小学教学点数量</w:t>
            </w:r>
          </w:p>
        </w:tc>
        <w:tc>
          <w:tcPr>
            <w:tcW w:w="418" w:type="dxa"/>
            <w:vAlign w:val="center"/>
          </w:tcPr>
          <w:p>
            <w:pPr>
              <w:widowControl/>
              <w:snapToGrid w:val="0"/>
              <w:spacing w:line="260" w:lineRule="exact"/>
              <w:jc w:val="center"/>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5</w:t>
            </w:r>
          </w:p>
        </w:tc>
        <w:tc>
          <w:tcPr>
            <w:tcW w:w="3212" w:type="dxa"/>
            <w:shd w:val="clear" w:color="auto" w:fill="auto"/>
            <w:vAlign w:val="center"/>
          </w:tcPr>
          <w:p>
            <w:pPr>
              <w:widowControl/>
              <w:snapToGrid w:val="0"/>
              <w:spacing w:line="26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1个教学点，得1分；</w:t>
            </w:r>
          </w:p>
          <w:p>
            <w:pPr>
              <w:widowControl/>
              <w:snapToGrid w:val="0"/>
              <w:spacing w:line="26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每增加1个教学点，计1分。</w:t>
            </w:r>
          </w:p>
        </w:tc>
        <w:tc>
          <w:tcPr>
            <w:tcW w:w="4708" w:type="dxa"/>
            <w:shd w:val="clear" w:color="auto" w:fill="auto"/>
            <w:vAlign w:val="center"/>
          </w:tcPr>
          <w:p>
            <w:pPr>
              <w:widowControl/>
              <w:snapToGrid w:val="0"/>
              <w:spacing w:line="26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满分5分。</w:t>
            </w:r>
          </w:p>
        </w:tc>
        <w:tc>
          <w:tcPr>
            <w:tcW w:w="2875" w:type="dxa"/>
            <w:vMerge w:val="continue"/>
            <w:vAlign w:val="center"/>
          </w:tcPr>
          <w:p>
            <w:pPr>
              <w:widowControl/>
              <w:snapToGrid w:val="0"/>
              <w:spacing w:line="260" w:lineRule="exact"/>
              <w:textAlignment w:val="baseline"/>
              <w:rPr>
                <w:rFonts w:ascii="方正仿宋_GBK" w:hAnsi="Times New Roman" w:eastAsia="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508" w:type="dxa"/>
            <w:gridSpan w:val="5"/>
            <w:vAlign w:val="center"/>
          </w:tcPr>
          <w:p>
            <w:pPr>
              <w:widowControl/>
              <w:snapToGrid w:val="0"/>
              <w:spacing w:line="300" w:lineRule="exact"/>
              <w:textAlignment w:val="baseline"/>
              <w:rPr>
                <w:rFonts w:ascii="方正黑体_GBK" w:hAnsi="Times New Roman" w:eastAsia="方正黑体_GBK"/>
                <w:kern w:val="0"/>
                <w:sz w:val="21"/>
                <w:szCs w:val="21"/>
              </w:rPr>
            </w:pPr>
            <w:r>
              <w:rPr>
                <w:rFonts w:hint="eastAsia" w:ascii="方正黑体_GBK" w:hAnsi="Times New Roman" w:eastAsia="方正黑体_GBK"/>
                <w:bCs/>
                <w:kern w:val="0"/>
                <w:sz w:val="21"/>
                <w:szCs w:val="21"/>
              </w:rPr>
              <w:t>六、体育组织（10分）</w:t>
            </w:r>
          </w:p>
        </w:tc>
        <w:tc>
          <w:tcPr>
            <w:tcW w:w="2875" w:type="dxa"/>
            <w:vAlign w:val="center"/>
          </w:tcPr>
          <w:p>
            <w:pPr>
              <w:widowControl/>
              <w:snapToGrid w:val="0"/>
              <w:spacing w:line="300" w:lineRule="exact"/>
              <w:textAlignment w:val="baseline"/>
              <w:rPr>
                <w:rFonts w:ascii="方正黑体_GBK" w:hAnsi="Times New Roman" w:eastAsia="方正黑体_GBK"/>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3170" w:type="dxa"/>
            <w:gridSpan w:val="2"/>
            <w:vAlign w:val="center"/>
          </w:tcPr>
          <w:p>
            <w:pPr>
              <w:widowControl/>
              <w:snapToGrid w:val="0"/>
              <w:spacing w:line="280" w:lineRule="exact"/>
              <w:jc w:val="lef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6.1在规定的连续12个月内，低收费使用体育场馆核心区场地作为固定运动场所的签约公益性青少年体育俱乐部、社会团体、基层文化体育组织等数量</w:t>
            </w:r>
          </w:p>
        </w:tc>
        <w:tc>
          <w:tcPr>
            <w:tcW w:w="418" w:type="dxa"/>
            <w:vAlign w:val="center"/>
          </w:tcPr>
          <w:p>
            <w:pPr>
              <w:widowControl/>
              <w:snapToGrid w:val="0"/>
              <w:spacing w:line="280" w:lineRule="exact"/>
              <w:jc w:val="center"/>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5</w:t>
            </w:r>
          </w:p>
        </w:tc>
        <w:tc>
          <w:tcPr>
            <w:tcW w:w="3212" w:type="dxa"/>
            <w:shd w:val="clear" w:color="auto" w:fill="auto"/>
            <w:vAlign w:val="center"/>
          </w:tcPr>
          <w:p>
            <w:pPr>
              <w:widowControl/>
              <w:snapToGrid w:val="0"/>
              <w:spacing w:line="28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1-2个，得1分；</w:t>
            </w:r>
          </w:p>
          <w:p>
            <w:pPr>
              <w:widowControl/>
              <w:snapToGrid w:val="0"/>
              <w:spacing w:line="28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3-4个，得2分；</w:t>
            </w:r>
          </w:p>
          <w:p>
            <w:pPr>
              <w:widowControl/>
              <w:snapToGrid w:val="0"/>
              <w:spacing w:line="28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5-6个，得3分；</w:t>
            </w:r>
          </w:p>
          <w:p>
            <w:pPr>
              <w:widowControl/>
              <w:snapToGrid w:val="0"/>
              <w:spacing w:line="28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7-8个，得4分；</w:t>
            </w:r>
          </w:p>
          <w:p>
            <w:pPr>
              <w:widowControl/>
              <w:snapToGrid w:val="0"/>
              <w:spacing w:line="28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9个及以上，得5分。</w:t>
            </w:r>
          </w:p>
        </w:tc>
        <w:tc>
          <w:tcPr>
            <w:tcW w:w="4708" w:type="dxa"/>
            <w:shd w:val="clear" w:color="auto" w:fill="auto"/>
            <w:vAlign w:val="center"/>
          </w:tcPr>
          <w:p>
            <w:pPr>
              <w:widowControl/>
              <w:snapToGrid w:val="0"/>
              <w:spacing w:line="28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满分5分。</w:t>
            </w:r>
          </w:p>
        </w:tc>
        <w:tc>
          <w:tcPr>
            <w:tcW w:w="2875" w:type="dxa"/>
            <w:vMerge w:val="restart"/>
            <w:vAlign w:val="center"/>
          </w:tcPr>
          <w:p>
            <w:pPr>
              <w:widowControl/>
              <w:snapToGrid w:val="0"/>
              <w:spacing w:line="28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提供规定</w:t>
            </w:r>
            <w:r>
              <w:rPr>
                <w:rFonts w:hint="eastAsia" w:ascii="方正仿宋_GBK" w:hAnsi="仿宋" w:eastAsia="方正仿宋_GBK" w:cs="仿宋"/>
                <w:kern w:val="0"/>
                <w:sz w:val="21"/>
                <w:szCs w:val="21"/>
              </w:rPr>
              <w:t>填报期限内学校体育服务的</w:t>
            </w:r>
            <w:r>
              <w:rPr>
                <w:rFonts w:hint="eastAsia" w:ascii="方正仿宋_GBK" w:hAnsi="Times New Roman" w:eastAsia="方正仿宋_GBK"/>
                <w:kern w:val="0"/>
                <w:sz w:val="21"/>
                <w:szCs w:val="21"/>
              </w:rPr>
              <w:t>协议，协议中应有明确服务的场地名称、服务时段、收费标准</w:t>
            </w:r>
            <w:r>
              <w:rPr>
                <w:rFonts w:hint="eastAsia" w:ascii="方正仿宋_GBK" w:hAnsi="仿宋" w:eastAsia="方正仿宋_GBK" w:cs="仿宋"/>
                <w:kern w:val="0"/>
                <w:sz w:val="21"/>
                <w:szCs w:val="21"/>
              </w:rPr>
              <w:t>（免费或低收费）</w:t>
            </w:r>
            <w:r>
              <w:rPr>
                <w:rFonts w:hint="eastAsia" w:ascii="方正仿宋_GBK" w:hAnsi="Times New Roman" w:eastAsia="方正仿宋_GBK"/>
                <w:kern w:val="0"/>
                <w:sz w:val="21"/>
                <w:szCs w:val="21"/>
              </w:rPr>
              <w:t>、体育健身指导、意外伤害险等内容。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3170" w:type="dxa"/>
            <w:gridSpan w:val="2"/>
            <w:vAlign w:val="center"/>
          </w:tcPr>
          <w:p>
            <w:pPr>
              <w:widowControl/>
              <w:snapToGrid w:val="0"/>
              <w:spacing w:line="280" w:lineRule="exact"/>
              <w:jc w:val="lef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6.2在规定的连续12个月内，免费使用体育场馆核心区场地作为固定运动场所的签约公益性青少年体育俱乐部、社会团体、基层文化体育组织等数量</w:t>
            </w:r>
          </w:p>
        </w:tc>
        <w:tc>
          <w:tcPr>
            <w:tcW w:w="418" w:type="dxa"/>
            <w:vAlign w:val="center"/>
          </w:tcPr>
          <w:p>
            <w:pPr>
              <w:widowControl/>
              <w:snapToGrid w:val="0"/>
              <w:spacing w:line="280" w:lineRule="exact"/>
              <w:jc w:val="center"/>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5</w:t>
            </w:r>
          </w:p>
        </w:tc>
        <w:tc>
          <w:tcPr>
            <w:tcW w:w="3212" w:type="dxa"/>
            <w:shd w:val="clear" w:color="auto" w:fill="auto"/>
            <w:vAlign w:val="center"/>
          </w:tcPr>
          <w:p>
            <w:pPr>
              <w:widowControl/>
              <w:snapToGrid w:val="0"/>
              <w:spacing w:line="28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1个，得1分；</w:t>
            </w:r>
          </w:p>
          <w:p>
            <w:pPr>
              <w:widowControl/>
              <w:snapToGrid w:val="0"/>
              <w:spacing w:line="28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每增加1个，计1分。</w:t>
            </w:r>
          </w:p>
        </w:tc>
        <w:tc>
          <w:tcPr>
            <w:tcW w:w="4708" w:type="dxa"/>
            <w:shd w:val="clear" w:color="auto" w:fill="auto"/>
            <w:vAlign w:val="center"/>
          </w:tcPr>
          <w:p>
            <w:pPr>
              <w:widowControl/>
              <w:snapToGrid w:val="0"/>
              <w:spacing w:line="28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满分5分。</w:t>
            </w:r>
          </w:p>
        </w:tc>
        <w:tc>
          <w:tcPr>
            <w:tcW w:w="2875" w:type="dxa"/>
            <w:vMerge w:val="continue"/>
            <w:vAlign w:val="center"/>
          </w:tcPr>
          <w:p>
            <w:pPr>
              <w:widowControl/>
              <w:snapToGrid w:val="0"/>
              <w:spacing w:line="280" w:lineRule="exact"/>
              <w:textAlignment w:val="baseline"/>
              <w:rPr>
                <w:rFonts w:ascii="方正仿宋_GBK" w:hAnsi="Times New Roman" w:eastAsia="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508" w:type="dxa"/>
            <w:gridSpan w:val="5"/>
            <w:vAlign w:val="center"/>
          </w:tcPr>
          <w:p>
            <w:pPr>
              <w:widowControl/>
              <w:snapToGrid w:val="0"/>
              <w:spacing w:line="300" w:lineRule="exact"/>
              <w:textAlignment w:val="baseline"/>
              <w:rPr>
                <w:rFonts w:ascii="方正黑体_GBK" w:hAnsi="Times New Roman" w:eastAsia="方正黑体_GBK"/>
                <w:kern w:val="0"/>
                <w:sz w:val="21"/>
                <w:szCs w:val="21"/>
              </w:rPr>
            </w:pPr>
            <w:r>
              <w:rPr>
                <w:rFonts w:hint="eastAsia" w:ascii="方正黑体_GBK" w:hAnsi="Times New Roman" w:eastAsia="方正黑体_GBK"/>
                <w:bCs/>
                <w:kern w:val="0"/>
                <w:sz w:val="21"/>
                <w:szCs w:val="21"/>
              </w:rPr>
              <w:t>七、信息化管理服务（5分）</w:t>
            </w:r>
          </w:p>
        </w:tc>
        <w:tc>
          <w:tcPr>
            <w:tcW w:w="2875" w:type="dxa"/>
            <w:vAlign w:val="center"/>
          </w:tcPr>
          <w:p>
            <w:pPr>
              <w:widowControl/>
              <w:snapToGrid w:val="0"/>
              <w:spacing w:line="300" w:lineRule="exact"/>
              <w:textAlignment w:val="baseline"/>
              <w:rPr>
                <w:rFonts w:ascii="方正黑体_GBK" w:hAnsi="Times New Roman" w:eastAsia="方正黑体_GBK"/>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3170" w:type="dxa"/>
            <w:gridSpan w:val="2"/>
            <w:vAlign w:val="center"/>
          </w:tcPr>
          <w:p>
            <w:pPr>
              <w:widowControl/>
              <w:snapToGrid w:val="0"/>
              <w:spacing w:line="300" w:lineRule="exact"/>
              <w:jc w:val="lef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体育场馆信息化管理服务水平</w:t>
            </w:r>
          </w:p>
        </w:tc>
        <w:tc>
          <w:tcPr>
            <w:tcW w:w="418" w:type="dxa"/>
            <w:vAlign w:val="center"/>
          </w:tcPr>
          <w:p>
            <w:pPr>
              <w:widowControl/>
              <w:snapToGrid w:val="0"/>
              <w:spacing w:line="300" w:lineRule="exact"/>
              <w:jc w:val="center"/>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5</w:t>
            </w:r>
          </w:p>
        </w:tc>
        <w:tc>
          <w:tcPr>
            <w:tcW w:w="3212" w:type="dxa"/>
            <w:shd w:val="clear" w:color="auto" w:fill="auto"/>
            <w:vAlign w:val="center"/>
          </w:tcPr>
          <w:p>
            <w:pPr>
              <w:widowControl/>
              <w:snapToGrid w:val="0"/>
              <w:spacing w:line="30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根据体育场馆信息化管理服务情况计分。</w:t>
            </w:r>
          </w:p>
        </w:tc>
        <w:tc>
          <w:tcPr>
            <w:tcW w:w="4708" w:type="dxa"/>
            <w:shd w:val="clear" w:color="auto" w:fill="auto"/>
            <w:vAlign w:val="center"/>
          </w:tcPr>
          <w:p>
            <w:pPr>
              <w:widowControl/>
              <w:snapToGrid w:val="0"/>
              <w:spacing w:line="30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满分5分。</w:t>
            </w:r>
          </w:p>
          <w:p>
            <w:pPr>
              <w:widowControl/>
              <w:snapToGrid w:val="0"/>
              <w:spacing w:line="30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（1）在规定的连续12个月内，体育场馆基本实现信息化管理，具有体育场馆公共信息发布、健身人次统计等基本功能，并能将有关数据与国家全民健身信息服务平台联通，计1分。</w:t>
            </w:r>
          </w:p>
          <w:p>
            <w:pPr>
              <w:widowControl/>
              <w:snapToGrid w:val="0"/>
              <w:spacing w:line="30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（2）在规定的连续12个月内，初步建立体育场馆信息化管理服务系统，具有体育场馆公共信息发布、健身人次统计等基本功能，并能将有关数据与国家全民健身信息服务平台联通，计3分。</w:t>
            </w:r>
          </w:p>
          <w:p>
            <w:pPr>
              <w:widowControl/>
              <w:snapToGrid w:val="0"/>
              <w:spacing w:line="30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（3）在规定的连续12个月内，建立完善的体育场馆信息化管理服务统，具有体育场馆公共信息发布、健身人次统计等基本功能，并能将有关数据与国家全民健身信息服务平台联通，计5分。</w:t>
            </w:r>
          </w:p>
        </w:tc>
        <w:tc>
          <w:tcPr>
            <w:tcW w:w="2875" w:type="dxa"/>
            <w:vAlign w:val="center"/>
          </w:tcPr>
          <w:p>
            <w:pPr>
              <w:widowControl/>
              <w:snapToGrid w:val="0"/>
              <w:spacing w:line="300" w:lineRule="exact"/>
              <w:textAlignment w:val="baseline"/>
              <w:rPr>
                <w:rFonts w:ascii="方正仿宋_GBK" w:hAnsi="Times New Roman" w:eastAsia="方正仿宋_GBK"/>
                <w:kern w:val="0"/>
                <w:sz w:val="21"/>
                <w:szCs w:val="21"/>
              </w:rPr>
            </w:pPr>
            <w:r>
              <w:rPr>
                <w:rFonts w:hint="eastAsia" w:ascii="方正仿宋_GBK" w:hAnsi="Times New Roman" w:eastAsia="方正仿宋_GBK"/>
                <w:kern w:val="0"/>
                <w:sz w:val="21"/>
                <w:szCs w:val="21"/>
              </w:rPr>
              <w:t>提供证明</w:t>
            </w:r>
            <w:r>
              <w:rPr>
                <w:rFonts w:hint="eastAsia" w:ascii="方正仿宋_GBK" w:hAnsi="仿宋" w:eastAsia="方正仿宋_GBK" w:cs="仿宋"/>
                <w:kern w:val="0"/>
                <w:sz w:val="21"/>
                <w:szCs w:val="21"/>
              </w:rPr>
              <w:t>信息化管理服务水平的</w:t>
            </w:r>
            <w:r>
              <w:rPr>
                <w:rFonts w:hint="eastAsia" w:ascii="方正仿宋_GBK" w:hAnsi="Times New Roman" w:eastAsia="方正仿宋_GBK"/>
                <w:kern w:val="0"/>
                <w:sz w:val="21"/>
                <w:szCs w:val="21"/>
              </w:rPr>
              <w:t>佐证材料。</w:t>
            </w:r>
          </w:p>
          <w:p>
            <w:pPr>
              <w:widowControl/>
              <w:snapToGrid w:val="0"/>
              <w:spacing w:line="300" w:lineRule="exact"/>
              <w:textAlignment w:val="baseline"/>
              <w:rPr>
                <w:rFonts w:ascii="方正仿宋_GBK" w:hAnsi="Times New Roman" w:eastAsia="方正仿宋_GBK"/>
                <w:kern w:val="0"/>
                <w:sz w:val="21"/>
                <w:szCs w:val="21"/>
              </w:rPr>
            </w:pPr>
          </w:p>
        </w:tc>
      </w:tr>
      <w:bookmarkEnd w:id="1"/>
    </w:tbl>
    <w:p>
      <w:pPr>
        <w:spacing w:line="360" w:lineRule="exact"/>
        <w:jc w:val="left"/>
        <w:rPr>
          <w:rFonts w:ascii="方正黑体_GBK" w:hAnsi="Times New Roman" w:eastAsia="方正黑体_GBK"/>
          <w:kern w:val="0"/>
          <w:sz w:val="21"/>
          <w:szCs w:val="21"/>
          <w:lang w:bidi="ar"/>
        </w:rPr>
      </w:pPr>
      <w:r>
        <w:rPr>
          <w:rFonts w:hint="eastAsia" w:ascii="方正黑体_GBK" w:hAnsi="Times New Roman" w:eastAsia="方正黑体_GBK"/>
          <w:kern w:val="0"/>
          <w:sz w:val="21"/>
          <w:szCs w:val="21"/>
          <w:lang w:bidi="ar"/>
        </w:rPr>
        <w:t>说明：1</w:t>
      </w:r>
      <w:r>
        <w:rPr>
          <w:rFonts w:hint="eastAsia" w:ascii="方正黑体_GBK" w:eastAsia="方正黑体_GBK"/>
          <w:sz w:val="21"/>
          <w:szCs w:val="21"/>
        </w:rPr>
        <w:t>．</w:t>
      </w:r>
      <w:r>
        <w:rPr>
          <w:rFonts w:hint="eastAsia" w:ascii="方正黑体_GBK" w:hAnsi="Times New Roman" w:eastAsia="方正黑体_GBK"/>
          <w:kern w:val="0"/>
          <w:sz w:val="21"/>
          <w:szCs w:val="21"/>
          <w:lang w:bidi="ar"/>
        </w:rPr>
        <w:t>本表中“提交材料的要求”为申报场馆在江苏省大型体育场馆免费或低收费开放专项资金管理系统中提交申报材料的要求。</w:t>
      </w:r>
    </w:p>
    <w:p>
      <w:pPr>
        <w:spacing w:line="360" w:lineRule="exact"/>
        <w:jc w:val="left"/>
        <w:rPr>
          <w:rFonts w:ascii="方正黑体_GBK" w:hAnsi="Times New Roman" w:eastAsia="方正黑体_GBK"/>
          <w:kern w:val="0"/>
          <w:sz w:val="21"/>
          <w:szCs w:val="21"/>
          <w:lang w:bidi="ar"/>
        </w:rPr>
      </w:pPr>
      <w:r>
        <w:rPr>
          <w:rFonts w:hint="eastAsia" w:ascii="方正黑体_GBK" w:hAnsi="Times New Roman" w:eastAsia="方正黑体_GBK"/>
          <w:color w:val="FFFFFF"/>
          <w:kern w:val="0"/>
          <w:sz w:val="21"/>
          <w:szCs w:val="21"/>
          <w:lang w:bidi="ar"/>
        </w:rPr>
        <w:t>说明：</w:t>
      </w:r>
      <w:r>
        <w:rPr>
          <w:rFonts w:hint="eastAsia" w:ascii="方正黑体_GBK" w:hAnsi="Times New Roman" w:eastAsia="方正黑体_GBK"/>
          <w:kern w:val="0"/>
          <w:sz w:val="21"/>
          <w:szCs w:val="21"/>
          <w:lang w:bidi="ar"/>
        </w:rPr>
        <w:t>2</w:t>
      </w:r>
      <w:r>
        <w:rPr>
          <w:rFonts w:hint="eastAsia" w:ascii="方正黑体_GBK" w:eastAsia="方正黑体_GBK"/>
          <w:sz w:val="21"/>
          <w:szCs w:val="21"/>
        </w:rPr>
        <w:t>．</w:t>
      </w:r>
      <w:r>
        <w:rPr>
          <w:rFonts w:hint="eastAsia" w:ascii="方正黑体_GBK" w:hAnsi="Times New Roman" w:eastAsia="方正黑体_GBK"/>
          <w:kern w:val="0"/>
          <w:sz w:val="21"/>
          <w:szCs w:val="21"/>
          <w:lang w:bidi="ar"/>
        </w:rPr>
        <w:t>本表中</w:t>
      </w:r>
      <w:r>
        <w:rPr>
          <w:rFonts w:hint="eastAsia" w:ascii="方正黑体_GBK" w:hAnsi="Times New Roman" w:eastAsia="方正黑体_GBK"/>
          <w:kern w:val="0"/>
          <w:sz w:val="21"/>
          <w:szCs w:val="21"/>
        </w:rPr>
        <w:t>连续12个月</w:t>
      </w:r>
      <w:r>
        <w:rPr>
          <w:rFonts w:hint="eastAsia" w:ascii="方正黑体_GBK" w:hAnsi="Times New Roman" w:eastAsia="方正黑体_GBK"/>
          <w:kern w:val="0"/>
          <w:sz w:val="21"/>
          <w:szCs w:val="21"/>
          <w:lang w:bidi="ar"/>
        </w:rPr>
        <w:t>是指2024年7月1日至2025年6月30日。</w:t>
      </w:r>
    </w:p>
    <w:p>
      <w:pPr>
        <w:spacing w:line="360" w:lineRule="exact"/>
        <w:jc w:val="left"/>
        <w:rPr>
          <w:rFonts w:hint="eastAsia" w:ascii="方正黑体_GBK" w:hAnsi="Times New Roman" w:eastAsia="方正黑体_GBK"/>
          <w:kern w:val="0"/>
          <w:sz w:val="21"/>
          <w:szCs w:val="21"/>
          <w:lang w:bidi="ar"/>
        </w:rPr>
      </w:pPr>
      <w:r>
        <w:rPr>
          <w:rFonts w:hint="eastAsia" w:ascii="方正黑体_GBK" w:hAnsi="Times New Roman" w:eastAsia="方正黑体_GBK"/>
          <w:color w:val="FFFFFF"/>
          <w:kern w:val="0"/>
          <w:sz w:val="21"/>
          <w:szCs w:val="21"/>
          <w:lang w:bidi="ar"/>
        </w:rPr>
        <w:t>说明：</w:t>
      </w:r>
      <w:r>
        <w:rPr>
          <w:rFonts w:hint="eastAsia" w:ascii="方正黑体_GBK" w:hAnsi="Times New Roman" w:eastAsia="方正黑体_GBK"/>
          <w:kern w:val="0"/>
          <w:sz w:val="21"/>
          <w:szCs w:val="21"/>
          <w:lang w:bidi="ar"/>
        </w:rPr>
        <w:t>3</w:t>
      </w:r>
      <w:r>
        <w:rPr>
          <w:rFonts w:hint="eastAsia" w:ascii="方正黑体_GBK" w:eastAsia="方正黑体_GBK"/>
          <w:sz w:val="21"/>
          <w:szCs w:val="21"/>
        </w:rPr>
        <w:t>．</w:t>
      </w:r>
      <w:r>
        <w:rPr>
          <w:rFonts w:hint="eastAsia" w:ascii="方正黑体_GBK" w:hAnsi="Times New Roman" w:eastAsia="方正黑体_GBK"/>
          <w:kern w:val="0"/>
          <w:sz w:val="21"/>
          <w:szCs w:val="21"/>
          <w:lang w:bidi="ar"/>
        </w:rPr>
        <w:t>本表中各项指标的填报材料为相关材料的照片、扫描件或电子文档。</w:t>
      </w:r>
    </w:p>
    <w:p>
      <w:bookmarkStart w:id="2" w:name="_GoBack"/>
      <w:bookmarkEnd w:id="2"/>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3C0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2025-05-28T00:37:04Z</dcterms:created>
  <dc:creator>Administrator</dc:creator>
  <cp:lastModifiedBy>Administrator</cp:lastModifiedBy>
  <dcterms:modified xsi:type="dcterms:W3CDTF">2025-05-28T00:37:13Z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