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ascii="方正黑体_GBK" w:hAnsi="宋体" w:eastAsia="方正黑体_GBK" w:cs="宋体"/>
          <w:kern w:val="0"/>
          <w:szCs w:val="32"/>
        </w:rPr>
      </w:pPr>
      <w:r>
        <w:rPr>
          <w:rFonts w:hint="eastAsia" w:ascii="方正黑体_GBK" w:hAnsi="宋体" w:eastAsia="方正黑体_GBK" w:cs="宋体"/>
          <w:kern w:val="0"/>
          <w:szCs w:val="32"/>
        </w:rPr>
        <w:t>附件4</w:t>
      </w:r>
    </w:p>
    <w:p>
      <w:pPr>
        <w:spacing w:line="200" w:lineRule="exact"/>
        <w:jc w:val="center"/>
        <w:rPr>
          <w:rFonts w:ascii="方正黑体_GBK" w:hAnsi="华文仿宋" w:eastAsia="方正黑体_GBK"/>
          <w:szCs w:val="32"/>
        </w:rPr>
      </w:pPr>
    </w:p>
    <w:p>
      <w:pPr>
        <w:widowControl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申报汇总表</w:t>
      </w:r>
    </w:p>
    <w:p>
      <w:pPr>
        <w:widowControl/>
        <w:spacing w:line="700" w:lineRule="exact"/>
        <w:jc w:val="center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（本表由设区市体育局汇总填报）</w:t>
      </w:r>
    </w:p>
    <w:p>
      <w:pPr>
        <w:spacing w:before="290" w:beforeLines="50" w:line="480" w:lineRule="exact"/>
        <w:ind w:right="-58" w:rightChars="-18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 xml:space="preserve">设区市体育局（盖章）：                           </w:t>
      </w:r>
    </w:p>
    <w:tbl>
      <w:tblPr>
        <w:tblStyle w:val="4"/>
        <w:tblW w:w="134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869"/>
        <w:gridCol w:w="1118"/>
        <w:gridCol w:w="1368"/>
        <w:gridCol w:w="1557"/>
        <w:gridCol w:w="1455"/>
        <w:gridCol w:w="2011"/>
        <w:gridCol w:w="1724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序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号</w:t>
            </w:r>
          </w:p>
        </w:tc>
        <w:tc>
          <w:tcPr>
            <w:tcW w:w="1869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申报车间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（场馆）名称</w:t>
            </w:r>
          </w:p>
        </w:tc>
        <w:tc>
          <w:tcPr>
            <w:tcW w:w="111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1368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申报类型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统一社会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1724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申报车间（场馆）投入运营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时间（年/月）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申报车间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（场馆）面积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（平方米）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869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体育企业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智能车间</w:t>
            </w:r>
          </w:p>
        </w:tc>
        <w:tc>
          <w:tcPr>
            <w:tcW w:w="14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智慧场馆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kern w:val="0"/>
                <w:sz w:val="24"/>
                <w:szCs w:val="24"/>
              </w:rPr>
              <w:t>创新项目</w:t>
            </w:r>
          </w:p>
        </w:tc>
        <w:tc>
          <w:tcPr>
            <w:tcW w:w="20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200" w:leftChars="200" w:hanging="200" w:hangingChars="200"/>
    </w:pPr>
    <w:rPr>
      <w:sz w:val="21"/>
      <w:szCs w:val="24"/>
    </w:r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2025-04-28T09:54:21Z</dcterms:created>
  <dc:creator>Administrator</dc:creator>
  <cp:lastModifiedBy>Administrator</cp:lastModifiedBy>
  <dcterms:modified xsi:type="dcterms:W3CDTF">2025-04-28T09:54:28Z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