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contextualSpacing/>
        <w:jc w:val="both"/>
        <w:rPr>
          <w:rFonts w:hint="eastAsia" w:ascii="方正黑体_GBK" w:hAnsi="黑体" w:eastAsia="方正黑体_GBK"/>
          <w:kern w:val="2"/>
          <w:sz w:val="32"/>
          <w:szCs w:val="32"/>
        </w:rPr>
      </w:pPr>
      <w:r>
        <w:rPr>
          <w:rFonts w:hint="eastAsia" w:ascii="方正黑体_GBK" w:hAnsi="黑体" w:eastAsia="方正黑体_GBK"/>
          <w:kern w:val="2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80" w:lineRule="exact"/>
        <w:contextualSpacing/>
        <w:jc w:val="both"/>
        <w:rPr>
          <w:rFonts w:ascii="方正黑体_GBK" w:hAnsi="黑体" w:eastAsia="方正黑体_GBK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700" w:lineRule="exact"/>
        <w:contextualSpacing/>
        <w:jc w:val="center"/>
        <w:rPr>
          <w:rFonts w:ascii="方正小标宋_GBK" w:hAnsi="Times New Roman" w:eastAsia="方正小标宋_GBK"/>
          <w:kern w:val="2"/>
          <w:sz w:val="44"/>
          <w:szCs w:val="44"/>
        </w:rPr>
      </w:pPr>
      <w:r>
        <w:rPr>
          <w:rFonts w:hint="eastAsia" w:ascii="方正小标宋_GBK" w:hAnsi="Times New Roman" w:eastAsia="方正小标宋_GBK"/>
          <w:kern w:val="2"/>
          <w:sz w:val="44"/>
          <w:szCs w:val="44"/>
        </w:rPr>
        <w:t>2024年度青少年体育公共服务数据汇总表</w:t>
      </w:r>
    </w:p>
    <w:p>
      <w:pPr>
        <w:rPr>
          <w:rFonts w:hint="eastAsia" w:ascii="方正黑体_GBK" w:hAnsi="仿宋" w:eastAsia="方正黑体_GBK"/>
          <w:sz w:val="30"/>
          <w:szCs w:val="30"/>
        </w:rPr>
      </w:pPr>
      <w:r>
        <w:rPr>
          <w:rFonts w:hint="eastAsia" w:ascii="方正黑体_GBK" w:hAnsi="仿宋" w:eastAsia="方正黑体_GBK"/>
          <w:sz w:val="30"/>
          <w:szCs w:val="30"/>
        </w:rPr>
        <w:t>单位（盖章）：</w:t>
      </w:r>
    </w:p>
    <w:tbl>
      <w:tblPr>
        <w:tblStyle w:val="4"/>
        <w:tblW w:w="14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34"/>
        <w:gridCol w:w="1015"/>
        <w:gridCol w:w="1015"/>
        <w:gridCol w:w="1015"/>
        <w:gridCol w:w="1015"/>
        <w:gridCol w:w="900"/>
        <w:gridCol w:w="899"/>
        <w:gridCol w:w="899"/>
        <w:gridCol w:w="1476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序号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中小学体育俱乐部供给情况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体育师资</w:t>
            </w:r>
          </w:p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培训情况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参与省级赛事活动情况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体校教练员进校园人次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体校面向社会服务情况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场地</w:t>
            </w: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资金</w:t>
            </w: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项目</w:t>
            </w: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人员</w:t>
            </w: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项目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人数</w:t>
            </w: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项目</w:t>
            </w: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人数</w:t>
            </w: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体校名称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技能培训、教学服务、场地开放等情况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Calibri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填写说明</w:t>
            </w:r>
          </w:p>
        </w:tc>
        <w:tc>
          <w:tcPr>
            <w:tcW w:w="13704" w:type="dxa"/>
            <w:gridSpan w:val="11"/>
          </w:tcPr>
          <w:p>
            <w:pPr>
              <w:spacing w:line="440" w:lineRule="exact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1</w:t>
            </w:r>
            <w:r>
              <w:rPr>
                <w:rFonts w:hint="eastAsia" w:ascii="方正仿宋_GBK" w:hAnsi="Calibri" w:eastAsia="方正仿宋_GBK"/>
                <w:sz w:val="24"/>
                <w:szCs w:val="24"/>
              </w:rPr>
              <w:t>．</w:t>
            </w:r>
            <w:r>
              <w:rPr>
                <w:rFonts w:hint="eastAsia" w:ascii="方正黑体_GBK" w:hAnsi="仿宋" w:eastAsia="方正黑体_GBK"/>
                <w:sz w:val="24"/>
                <w:szCs w:val="24"/>
              </w:rPr>
              <w:t>中小学体育俱乐部供给情况：场地、项目和人员均填写全年总数量、资金单位为元。</w:t>
            </w:r>
          </w:p>
          <w:p>
            <w:pPr>
              <w:spacing w:line="440" w:lineRule="exact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2</w:t>
            </w:r>
            <w:r>
              <w:rPr>
                <w:rFonts w:hint="eastAsia" w:ascii="方正仿宋_GBK" w:hAnsi="Calibri" w:eastAsia="方正仿宋_GBK"/>
                <w:sz w:val="24"/>
                <w:szCs w:val="24"/>
              </w:rPr>
              <w:t>．</w:t>
            </w:r>
            <w:r>
              <w:rPr>
                <w:rFonts w:hint="eastAsia" w:ascii="方正黑体_GBK" w:hAnsi="仿宋" w:eastAsia="方正黑体_GBK"/>
                <w:sz w:val="24"/>
                <w:szCs w:val="24"/>
              </w:rPr>
              <w:t>体育师资培训情况：主要填写开展培训的项目和参加人数，如参加全国或省级培训，请在项目后用括号备注“全国”或“省级”</w:t>
            </w:r>
          </w:p>
          <w:p>
            <w:pPr>
              <w:spacing w:line="440" w:lineRule="exact"/>
              <w:rPr>
                <w:rFonts w:hint="eastAsia"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3</w:t>
            </w:r>
            <w:r>
              <w:rPr>
                <w:rFonts w:hint="eastAsia" w:ascii="方正仿宋_GBK" w:hAnsi="Calibri" w:eastAsia="方正仿宋_GBK"/>
                <w:sz w:val="24"/>
                <w:szCs w:val="24"/>
              </w:rPr>
              <w:t>．</w:t>
            </w:r>
            <w:r>
              <w:rPr>
                <w:rFonts w:hint="eastAsia" w:ascii="方正黑体_GBK" w:hAnsi="仿宋" w:eastAsia="方正黑体_GBK"/>
                <w:sz w:val="24"/>
                <w:szCs w:val="24"/>
              </w:rPr>
              <w:t>体校面向社会服务情况：主要填写技能培训、教学服务、竞赛组织保障、场地开放等情况</w:t>
            </w:r>
          </w:p>
        </w:tc>
      </w:tr>
    </w:tbl>
    <w:p>
      <w:pPr>
        <w:rPr>
          <w:rFonts w:hint="eastAsia" w:ascii="方正黑体_GBK" w:hAnsi="仿宋" w:eastAsia="方正黑体_GBK"/>
          <w:sz w:val="24"/>
          <w:szCs w:val="24"/>
        </w:rPr>
      </w:pPr>
      <w:r>
        <w:rPr>
          <w:rFonts w:hint="eastAsia" w:ascii="方正黑体_GBK" w:hAnsi="仿宋" w:eastAsia="方正黑体_GBK"/>
          <w:sz w:val="24"/>
          <w:szCs w:val="24"/>
        </w:rPr>
        <w:t>填报人：                                          联系电话：</w:t>
      </w:r>
    </w:p>
    <w:p>
      <w:pPr>
        <w:widowControl/>
        <w:spacing w:line="240" w:lineRule="exact"/>
        <w:jc w:val="left"/>
        <w:rPr>
          <w:rFonts w:eastAsia="方正小标宋_GBK"/>
          <w:b/>
          <w:snapToGrid w:val="0"/>
          <w:color w:val="FF0000"/>
          <w:w w:val="98"/>
          <w:kern w:val="0"/>
          <w:sz w:val="64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2024-03-20T01:21:58Z</dcterms:created>
  <dc:creator>Administrator</dc:creator>
  <cp:lastModifiedBy>Administrator</cp:lastModifiedBy>
  <dcterms:modified xsi:type="dcterms:W3CDTF">2024-03-20T01:22:07Z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